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3D6F6" w14:textId="6CFE6B89" w:rsidR="00E55EDE" w:rsidRPr="005D1FD2" w:rsidRDefault="005D1FD2" w:rsidP="005D1FD2">
      <w:pPr>
        <w:spacing w:before="120" w:after="120"/>
        <w:rPr>
          <w:rFonts w:ascii="Calibri" w:hAnsi="Calibri" w:cs="Calibri"/>
          <w:b/>
          <w:sz w:val="44"/>
          <w:szCs w:val="44"/>
        </w:rPr>
      </w:pPr>
      <w:r w:rsidRPr="005D1FD2">
        <w:rPr>
          <w:rFonts w:asciiTheme="majorHAnsi" w:hAnsiTheme="majorHAnsi" w:cstheme="majorHAnsi"/>
          <w:b/>
          <w:bCs/>
          <w:noProof/>
          <w:sz w:val="14"/>
          <w:szCs w:val="14"/>
        </w:rPr>
        <w:drawing>
          <wp:anchor distT="0" distB="0" distL="114300" distR="114300" simplePos="0" relativeHeight="251661312" behindDoc="0" locked="0" layoutInCell="1" allowOverlap="1" wp14:anchorId="6ECE811F" wp14:editId="49F2ABE9">
            <wp:simplePos x="0" y="0"/>
            <wp:positionH relativeFrom="margin">
              <wp:posOffset>4144571</wp:posOffset>
            </wp:positionH>
            <wp:positionV relativeFrom="paragraph">
              <wp:posOffset>1270</wp:posOffset>
            </wp:positionV>
            <wp:extent cx="1826582" cy="414259"/>
            <wp:effectExtent l="0" t="0" r="2540" b="508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582" cy="4142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FD2">
        <w:rPr>
          <w:rFonts w:ascii="Calibri" w:hAnsi="Calibri" w:cs="Calibri"/>
          <w:b/>
          <w:sz w:val="44"/>
          <w:szCs w:val="44"/>
        </w:rPr>
        <w:t>ŠTÚDIA</w:t>
      </w:r>
    </w:p>
    <w:p w14:paraId="09BDFE4A" w14:textId="16B86C4A" w:rsidR="005D1FD2" w:rsidRPr="009766DD" w:rsidRDefault="005D1FD2" w:rsidP="005D1FD2">
      <w:pPr>
        <w:rPr>
          <w:rFonts w:ascii="Calibri" w:hAnsi="Calibri" w:cs="Calibri"/>
        </w:rPr>
      </w:pPr>
      <w:r w:rsidRPr="009766DD">
        <w:rPr>
          <w:rFonts w:ascii="Calibri" w:hAnsi="Calibri" w:cs="Calibri"/>
          <w:b/>
        </w:rPr>
        <w:t>Projekt ECF</w:t>
      </w:r>
    </w:p>
    <w:p w14:paraId="313CEF88" w14:textId="4D101B16" w:rsidR="005D1FD2" w:rsidRPr="005D1FD2" w:rsidRDefault="005D1FD2" w:rsidP="005D1FD2">
      <w:pPr>
        <w:spacing w:before="120" w:after="120"/>
        <w:rPr>
          <w:rFonts w:asciiTheme="majorHAnsi" w:hAnsiTheme="majorHAnsi" w:cstheme="majorHAnsi"/>
          <w:b/>
          <w:bCs/>
          <w:sz w:val="36"/>
          <w:szCs w:val="36"/>
        </w:rPr>
      </w:pPr>
    </w:p>
    <w:p w14:paraId="686AFDA5" w14:textId="250039CD" w:rsidR="00E55EDE" w:rsidRPr="003D2F50" w:rsidRDefault="00E55EDE" w:rsidP="00E55EDE">
      <w:pPr>
        <w:pStyle w:val="Odstavecseseznamem"/>
        <w:spacing w:before="120" w:after="120"/>
        <w:jc w:val="center"/>
        <w:rPr>
          <w:rFonts w:asciiTheme="majorHAnsi" w:hAnsiTheme="majorHAnsi" w:cstheme="majorHAnsi"/>
          <w:b/>
          <w:bCs/>
          <w:sz w:val="36"/>
          <w:szCs w:val="36"/>
        </w:rPr>
      </w:pPr>
    </w:p>
    <w:p w14:paraId="4BA2C5D5" w14:textId="1EFEDD0A" w:rsidR="00E55EDE" w:rsidRPr="003D2F50" w:rsidRDefault="00E55EDE" w:rsidP="00E55EDE">
      <w:pPr>
        <w:pStyle w:val="Odstavecseseznamem"/>
        <w:spacing w:before="120" w:after="120"/>
        <w:jc w:val="center"/>
        <w:rPr>
          <w:rFonts w:asciiTheme="majorHAnsi" w:hAnsiTheme="majorHAnsi" w:cstheme="majorHAnsi"/>
          <w:b/>
          <w:bCs/>
          <w:sz w:val="36"/>
          <w:szCs w:val="36"/>
        </w:rPr>
      </w:pPr>
    </w:p>
    <w:p w14:paraId="2725476B" w14:textId="0B8681C0" w:rsidR="00E55EDE" w:rsidRPr="003D2F50" w:rsidRDefault="00E55EDE" w:rsidP="00E55EDE">
      <w:pPr>
        <w:pStyle w:val="Odstavecseseznamem"/>
        <w:spacing w:before="120" w:after="120"/>
        <w:jc w:val="center"/>
        <w:rPr>
          <w:rFonts w:asciiTheme="majorHAnsi" w:hAnsiTheme="majorHAnsi" w:cstheme="majorHAnsi"/>
          <w:b/>
          <w:bCs/>
          <w:sz w:val="36"/>
          <w:szCs w:val="36"/>
        </w:rPr>
      </w:pPr>
    </w:p>
    <w:p w14:paraId="1FCD8F5C" w14:textId="0A7DC720" w:rsidR="00E55EDE" w:rsidRPr="003D2F50" w:rsidRDefault="00E55EDE" w:rsidP="00E55EDE">
      <w:pPr>
        <w:pStyle w:val="Odstavecseseznamem"/>
        <w:spacing w:before="120" w:after="120"/>
        <w:jc w:val="center"/>
        <w:rPr>
          <w:rFonts w:asciiTheme="majorHAnsi" w:hAnsiTheme="majorHAnsi" w:cstheme="majorHAnsi"/>
          <w:b/>
          <w:bCs/>
          <w:sz w:val="36"/>
          <w:szCs w:val="36"/>
        </w:rPr>
      </w:pPr>
    </w:p>
    <w:p w14:paraId="6581BE68" w14:textId="6538F7C5" w:rsidR="005D1FD2" w:rsidRDefault="005D1FD2" w:rsidP="005D1FD2">
      <w:pPr>
        <w:spacing w:before="120" w:after="120"/>
        <w:jc w:val="center"/>
        <w:rPr>
          <w:rFonts w:ascii="Calibri" w:hAnsi="Calibri" w:cs="Calibri"/>
          <w:b/>
          <w:sz w:val="56"/>
          <w:szCs w:val="56"/>
        </w:rPr>
      </w:pPr>
      <w:r>
        <w:rPr>
          <w:rFonts w:ascii="Calibri" w:hAnsi="Calibri" w:cs="Calibri"/>
          <w:b/>
          <w:sz w:val="56"/>
          <w:szCs w:val="56"/>
        </w:rPr>
        <w:t>POTENCIÁL PODPORY OBNOVY RODINNÝCH DOMOV</w:t>
      </w:r>
    </w:p>
    <w:p w14:paraId="51D1F253" w14:textId="3A733E92" w:rsidR="00E55EDE" w:rsidRPr="003D2F50" w:rsidRDefault="00E55EDE" w:rsidP="00E55EDE">
      <w:pPr>
        <w:pStyle w:val="Odstavecseseznamem"/>
        <w:spacing w:before="120" w:after="120"/>
        <w:jc w:val="center"/>
        <w:rPr>
          <w:rFonts w:asciiTheme="majorHAnsi" w:hAnsiTheme="majorHAnsi" w:cstheme="majorHAnsi"/>
          <w:b/>
          <w:bCs/>
          <w:sz w:val="36"/>
          <w:szCs w:val="36"/>
        </w:rPr>
      </w:pPr>
    </w:p>
    <w:p w14:paraId="73B7AC47" w14:textId="45358C39" w:rsidR="00E55EDE" w:rsidRPr="003D2F50" w:rsidRDefault="00E55EDE" w:rsidP="00E55EDE">
      <w:pPr>
        <w:pStyle w:val="Odstavecseseznamem"/>
        <w:spacing w:before="120" w:after="120"/>
        <w:jc w:val="center"/>
        <w:rPr>
          <w:rFonts w:asciiTheme="majorHAnsi" w:hAnsiTheme="majorHAnsi" w:cstheme="majorHAnsi"/>
          <w:b/>
          <w:bCs/>
          <w:sz w:val="36"/>
          <w:szCs w:val="36"/>
        </w:rPr>
      </w:pPr>
    </w:p>
    <w:p w14:paraId="0D9BCEE4" w14:textId="4468C4F3" w:rsidR="004E1ED8" w:rsidRPr="003D2F50" w:rsidRDefault="004E1ED8" w:rsidP="004E1ED8">
      <w:pPr>
        <w:pStyle w:val="Odstavecseseznamem"/>
        <w:spacing w:before="120" w:after="120"/>
        <w:rPr>
          <w:rFonts w:asciiTheme="majorHAnsi" w:hAnsiTheme="majorHAnsi" w:cstheme="majorHAnsi"/>
          <w:b/>
          <w:bCs/>
          <w:sz w:val="20"/>
          <w:szCs w:val="20"/>
        </w:rPr>
      </w:pPr>
    </w:p>
    <w:p w14:paraId="65B48C50" w14:textId="205D5D21" w:rsidR="004E1ED8" w:rsidRPr="003D2F50" w:rsidRDefault="004E1ED8" w:rsidP="004E1ED8">
      <w:pPr>
        <w:pStyle w:val="Odstavecseseznamem"/>
        <w:spacing w:before="120" w:after="120"/>
        <w:rPr>
          <w:rFonts w:asciiTheme="majorHAnsi" w:hAnsiTheme="majorHAnsi" w:cstheme="majorHAnsi"/>
          <w:b/>
          <w:bCs/>
          <w:sz w:val="20"/>
          <w:szCs w:val="20"/>
        </w:rPr>
      </w:pPr>
    </w:p>
    <w:p w14:paraId="41A34537" w14:textId="2FA314F7" w:rsidR="004E1ED8" w:rsidRPr="003D2F50" w:rsidRDefault="004E1ED8" w:rsidP="004E1ED8">
      <w:pPr>
        <w:pStyle w:val="Odstavecseseznamem"/>
        <w:spacing w:before="120" w:after="120"/>
        <w:rPr>
          <w:rFonts w:asciiTheme="majorHAnsi" w:hAnsiTheme="majorHAnsi" w:cstheme="majorHAnsi"/>
          <w:b/>
          <w:bCs/>
          <w:sz w:val="20"/>
          <w:szCs w:val="20"/>
        </w:rPr>
      </w:pPr>
    </w:p>
    <w:p w14:paraId="1E68143C" w14:textId="1EC92BA3" w:rsidR="004E1ED8" w:rsidRPr="003D2F50" w:rsidRDefault="004E1ED8" w:rsidP="004E1ED8">
      <w:pPr>
        <w:pStyle w:val="Odstavecseseznamem"/>
        <w:spacing w:before="120" w:after="120"/>
        <w:rPr>
          <w:rFonts w:asciiTheme="majorHAnsi" w:hAnsiTheme="majorHAnsi" w:cstheme="majorHAnsi"/>
          <w:b/>
          <w:bCs/>
          <w:sz w:val="20"/>
          <w:szCs w:val="20"/>
        </w:rPr>
      </w:pPr>
    </w:p>
    <w:p w14:paraId="4F5811F8" w14:textId="3D260026" w:rsidR="004E1ED8" w:rsidRPr="003D2F50" w:rsidRDefault="004E1ED8" w:rsidP="004E1ED8">
      <w:pPr>
        <w:pStyle w:val="Odstavecseseznamem"/>
        <w:spacing w:before="120" w:after="120"/>
        <w:rPr>
          <w:rFonts w:asciiTheme="majorHAnsi" w:hAnsiTheme="majorHAnsi" w:cstheme="majorHAnsi"/>
          <w:b/>
          <w:bCs/>
          <w:sz w:val="20"/>
          <w:szCs w:val="20"/>
        </w:rPr>
      </w:pPr>
    </w:p>
    <w:p w14:paraId="6843B536" w14:textId="088BBBD4" w:rsidR="004E1ED8" w:rsidRPr="003D2F50" w:rsidRDefault="004E1ED8" w:rsidP="004E1ED8">
      <w:pPr>
        <w:pStyle w:val="Odstavecseseznamem"/>
        <w:spacing w:before="120" w:after="120"/>
        <w:rPr>
          <w:rFonts w:asciiTheme="majorHAnsi" w:hAnsiTheme="majorHAnsi" w:cstheme="majorHAnsi"/>
          <w:b/>
          <w:bCs/>
          <w:sz w:val="20"/>
          <w:szCs w:val="20"/>
        </w:rPr>
      </w:pPr>
    </w:p>
    <w:p w14:paraId="73B15F79" w14:textId="3334862D" w:rsidR="004E1ED8" w:rsidRPr="003D2F50" w:rsidRDefault="004E1ED8" w:rsidP="004E1ED8">
      <w:pPr>
        <w:pStyle w:val="Odstavecseseznamem"/>
        <w:spacing w:before="120" w:after="120"/>
        <w:rPr>
          <w:rFonts w:asciiTheme="majorHAnsi" w:hAnsiTheme="majorHAnsi" w:cstheme="majorHAnsi"/>
          <w:b/>
          <w:bCs/>
          <w:sz w:val="20"/>
          <w:szCs w:val="20"/>
        </w:rPr>
      </w:pPr>
    </w:p>
    <w:p w14:paraId="3B1A9294" w14:textId="433D979F" w:rsidR="004E1ED8" w:rsidRPr="003D2F50" w:rsidRDefault="004E1ED8" w:rsidP="004E1ED8">
      <w:pPr>
        <w:pStyle w:val="Odstavecseseznamem"/>
        <w:spacing w:before="120" w:after="120"/>
        <w:rPr>
          <w:rFonts w:asciiTheme="majorHAnsi" w:hAnsiTheme="majorHAnsi" w:cstheme="majorHAnsi"/>
          <w:b/>
          <w:bCs/>
          <w:sz w:val="20"/>
          <w:szCs w:val="20"/>
        </w:rPr>
      </w:pPr>
    </w:p>
    <w:p w14:paraId="1C9CC3D9" w14:textId="45120FC2" w:rsidR="004E1ED8" w:rsidRPr="003D2F50" w:rsidRDefault="004E1ED8" w:rsidP="004E1ED8">
      <w:pPr>
        <w:pStyle w:val="Odstavecseseznamem"/>
        <w:spacing w:before="120" w:after="120"/>
        <w:rPr>
          <w:rFonts w:asciiTheme="majorHAnsi" w:hAnsiTheme="majorHAnsi" w:cstheme="majorHAnsi"/>
          <w:b/>
          <w:bCs/>
          <w:sz w:val="20"/>
          <w:szCs w:val="20"/>
        </w:rPr>
      </w:pPr>
    </w:p>
    <w:p w14:paraId="60F35A98" w14:textId="6C75A61B" w:rsidR="004E1ED8" w:rsidRPr="003D2F50" w:rsidRDefault="004E1ED8" w:rsidP="004E1ED8">
      <w:pPr>
        <w:pStyle w:val="Odstavecseseznamem"/>
        <w:spacing w:before="120" w:after="120"/>
        <w:rPr>
          <w:rFonts w:asciiTheme="majorHAnsi" w:hAnsiTheme="majorHAnsi" w:cstheme="majorHAnsi"/>
          <w:b/>
          <w:bCs/>
          <w:sz w:val="20"/>
          <w:szCs w:val="20"/>
        </w:rPr>
      </w:pPr>
    </w:p>
    <w:p w14:paraId="3B6F7652" w14:textId="3B761665" w:rsidR="004E1ED8" w:rsidRPr="003D2F50" w:rsidRDefault="004E1ED8" w:rsidP="004E1ED8">
      <w:pPr>
        <w:pStyle w:val="Odstavecseseznamem"/>
        <w:spacing w:before="120" w:after="120"/>
        <w:rPr>
          <w:rFonts w:asciiTheme="majorHAnsi" w:hAnsiTheme="majorHAnsi" w:cstheme="majorHAnsi"/>
          <w:b/>
          <w:bCs/>
          <w:sz w:val="20"/>
          <w:szCs w:val="20"/>
        </w:rPr>
      </w:pPr>
    </w:p>
    <w:p w14:paraId="436B9DFC" w14:textId="30F0FE9B" w:rsidR="005C1820" w:rsidRPr="003D2F50" w:rsidRDefault="005C1820" w:rsidP="004E1ED8">
      <w:pPr>
        <w:pStyle w:val="Odstavecseseznamem"/>
        <w:spacing w:before="120" w:after="120"/>
        <w:rPr>
          <w:rFonts w:asciiTheme="majorHAnsi" w:hAnsiTheme="majorHAnsi" w:cstheme="majorHAnsi"/>
          <w:b/>
          <w:bCs/>
          <w:sz w:val="20"/>
          <w:szCs w:val="20"/>
        </w:rPr>
      </w:pPr>
    </w:p>
    <w:p w14:paraId="02DE108A" w14:textId="053178CB" w:rsidR="005C1820" w:rsidRPr="003D2F50" w:rsidRDefault="005C1820" w:rsidP="004E1ED8">
      <w:pPr>
        <w:pStyle w:val="Odstavecseseznamem"/>
        <w:spacing w:before="120" w:after="120"/>
        <w:rPr>
          <w:rFonts w:asciiTheme="majorHAnsi" w:hAnsiTheme="majorHAnsi" w:cstheme="majorHAnsi"/>
          <w:b/>
          <w:bCs/>
          <w:sz w:val="20"/>
          <w:szCs w:val="20"/>
        </w:rPr>
      </w:pPr>
    </w:p>
    <w:p w14:paraId="2E9B7DD5" w14:textId="01BA6B4E" w:rsidR="004E1ED8" w:rsidRPr="003D2F50" w:rsidRDefault="004E1ED8" w:rsidP="004E1ED8">
      <w:pPr>
        <w:pStyle w:val="Odstavecseseznamem"/>
        <w:spacing w:before="120" w:after="120"/>
        <w:rPr>
          <w:rFonts w:asciiTheme="majorHAnsi" w:hAnsiTheme="majorHAnsi" w:cstheme="majorHAnsi"/>
          <w:b/>
          <w:bCs/>
          <w:sz w:val="20"/>
          <w:szCs w:val="20"/>
        </w:rPr>
      </w:pPr>
    </w:p>
    <w:p w14:paraId="439F06EA" w14:textId="7C2CB60F" w:rsidR="004E1ED8" w:rsidRPr="003D2F50" w:rsidRDefault="004E1ED8" w:rsidP="004E1ED8">
      <w:pPr>
        <w:pStyle w:val="Odstavecseseznamem"/>
        <w:spacing w:before="120" w:after="120"/>
        <w:rPr>
          <w:rFonts w:asciiTheme="majorHAnsi" w:hAnsiTheme="majorHAnsi" w:cstheme="majorHAnsi"/>
          <w:b/>
          <w:bCs/>
          <w:sz w:val="20"/>
          <w:szCs w:val="20"/>
        </w:rPr>
      </w:pPr>
    </w:p>
    <w:p w14:paraId="2B5C824F" w14:textId="3A1A77E0" w:rsidR="004E1ED8" w:rsidRPr="003D2F50" w:rsidRDefault="004E1ED8" w:rsidP="004E1ED8">
      <w:pPr>
        <w:pStyle w:val="Odstavecseseznamem"/>
        <w:spacing w:before="120" w:after="120"/>
        <w:rPr>
          <w:rFonts w:asciiTheme="majorHAnsi" w:hAnsiTheme="majorHAnsi" w:cstheme="majorHAnsi"/>
          <w:b/>
          <w:bCs/>
          <w:sz w:val="20"/>
          <w:szCs w:val="20"/>
        </w:rPr>
      </w:pPr>
    </w:p>
    <w:p w14:paraId="24759129" w14:textId="3E436A33" w:rsidR="00846B96" w:rsidRPr="003D2F50" w:rsidRDefault="00846B96" w:rsidP="004E1ED8">
      <w:pPr>
        <w:pStyle w:val="Odstavecseseznamem"/>
        <w:spacing w:before="120" w:after="120"/>
        <w:rPr>
          <w:rFonts w:asciiTheme="majorHAnsi" w:hAnsiTheme="majorHAnsi" w:cstheme="majorHAnsi"/>
          <w:b/>
          <w:bCs/>
          <w:sz w:val="20"/>
          <w:szCs w:val="20"/>
        </w:rPr>
      </w:pPr>
    </w:p>
    <w:p w14:paraId="72FDBFFE" w14:textId="6229C830" w:rsidR="004E1ED8" w:rsidRPr="003D2F50" w:rsidRDefault="004E1ED8" w:rsidP="004E1ED8">
      <w:pPr>
        <w:pStyle w:val="Odstavecseseznamem"/>
        <w:spacing w:before="120" w:after="120"/>
        <w:rPr>
          <w:rFonts w:asciiTheme="majorHAnsi" w:hAnsiTheme="majorHAnsi" w:cstheme="majorHAnsi"/>
          <w:b/>
          <w:bCs/>
          <w:sz w:val="20"/>
          <w:szCs w:val="20"/>
        </w:rPr>
      </w:pPr>
    </w:p>
    <w:p w14:paraId="2E530336" w14:textId="7FC45806" w:rsidR="004E1ED8" w:rsidRPr="003D2F50" w:rsidRDefault="004E1ED8" w:rsidP="004E1ED8">
      <w:pPr>
        <w:pStyle w:val="Odstavecseseznamem"/>
        <w:spacing w:before="120" w:after="120"/>
        <w:rPr>
          <w:rFonts w:asciiTheme="majorHAnsi" w:hAnsiTheme="majorHAnsi" w:cstheme="majorHAnsi"/>
          <w:b/>
          <w:bCs/>
          <w:sz w:val="20"/>
          <w:szCs w:val="20"/>
        </w:rPr>
      </w:pPr>
    </w:p>
    <w:p w14:paraId="702F8157" w14:textId="09A20C91" w:rsidR="004E1ED8" w:rsidRPr="003D2F50" w:rsidRDefault="004E1ED8" w:rsidP="004E1ED8">
      <w:pPr>
        <w:pStyle w:val="Odstavecseseznamem"/>
        <w:spacing w:before="120" w:after="120"/>
        <w:rPr>
          <w:rFonts w:asciiTheme="majorHAnsi" w:hAnsiTheme="majorHAnsi" w:cstheme="majorHAnsi"/>
          <w:b/>
          <w:bCs/>
          <w:sz w:val="20"/>
          <w:szCs w:val="20"/>
        </w:rPr>
      </w:pPr>
    </w:p>
    <w:p w14:paraId="36CB4D05" w14:textId="23D0F046" w:rsidR="004E1ED8" w:rsidRPr="003D2F50" w:rsidRDefault="004E1ED8" w:rsidP="004E1ED8">
      <w:pPr>
        <w:pStyle w:val="Odstavecseseznamem"/>
        <w:spacing w:before="120" w:after="120"/>
        <w:rPr>
          <w:rFonts w:asciiTheme="majorHAnsi" w:hAnsiTheme="majorHAnsi" w:cstheme="majorHAnsi"/>
          <w:b/>
          <w:bCs/>
          <w:sz w:val="20"/>
          <w:szCs w:val="20"/>
        </w:rPr>
      </w:pPr>
    </w:p>
    <w:p w14:paraId="02DDB8DF" w14:textId="719B25BD" w:rsidR="004E1ED8" w:rsidRPr="003D2F50" w:rsidRDefault="004E1ED8" w:rsidP="004E1ED8">
      <w:pPr>
        <w:pStyle w:val="Odstavecseseznamem"/>
        <w:spacing w:before="120" w:after="120"/>
        <w:rPr>
          <w:rFonts w:asciiTheme="majorHAnsi" w:hAnsiTheme="majorHAnsi" w:cstheme="majorHAnsi"/>
          <w:b/>
          <w:bCs/>
          <w:sz w:val="20"/>
          <w:szCs w:val="20"/>
        </w:rPr>
      </w:pPr>
    </w:p>
    <w:p w14:paraId="0EA62F8B" w14:textId="6FC8DFE5" w:rsidR="004E1ED8" w:rsidRPr="003D2F50" w:rsidRDefault="004E1ED8" w:rsidP="004E1ED8">
      <w:pPr>
        <w:pStyle w:val="Odstavecseseznamem"/>
        <w:spacing w:before="120" w:after="120"/>
        <w:rPr>
          <w:rFonts w:asciiTheme="majorHAnsi" w:hAnsiTheme="majorHAnsi" w:cstheme="majorHAnsi"/>
          <w:b/>
          <w:bCs/>
          <w:sz w:val="20"/>
          <w:szCs w:val="20"/>
        </w:rPr>
      </w:pPr>
    </w:p>
    <w:p w14:paraId="5C99AB72" w14:textId="6E33D976" w:rsidR="005D1FD2" w:rsidRPr="009766DD" w:rsidRDefault="005D1FD2" w:rsidP="005D1FD2">
      <w:pPr>
        <w:rPr>
          <w:rFonts w:ascii="Calibri" w:hAnsi="Calibri" w:cs="Calibri"/>
        </w:rPr>
      </w:pPr>
      <w:r>
        <w:rPr>
          <w:rFonts w:ascii="Calibri" w:hAnsi="Calibri" w:cs="Calibri"/>
          <w:b/>
        </w:rPr>
        <w:t xml:space="preserve">Január 2021 </w:t>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r>
      <w:r>
        <w:rPr>
          <w:rFonts w:ascii="Calibri" w:hAnsi="Calibri" w:cs="Calibri"/>
          <w:b/>
        </w:rPr>
        <w:tab/>
        <w:t xml:space="preserve">       Vypracoval: Richard Paksi</w:t>
      </w:r>
    </w:p>
    <w:p w14:paraId="5C1FFA02" w14:textId="4AC46FB6" w:rsidR="003D2F50" w:rsidRDefault="003D2F50" w:rsidP="004E1ED8">
      <w:pPr>
        <w:pStyle w:val="Odstavecseseznamem"/>
        <w:spacing w:before="120" w:after="120"/>
        <w:rPr>
          <w:rFonts w:asciiTheme="majorHAnsi" w:hAnsiTheme="majorHAnsi" w:cstheme="majorHAnsi"/>
          <w:b/>
          <w:bCs/>
          <w:sz w:val="20"/>
          <w:szCs w:val="20"/>
        </w:rPr>
      </w:pPr>
    </w:p>
    <w:p w14:paraId="5B9EE8CD" w14:textId="7A55DE6E" w:rsidR="003D2F50" w:rsidRDefault="003D2F50" w:rsidP="004E1ED8">
      <w:pPr>
        <w:pStyle w:val="Odstavecseseznamem"/>
        <w:spacing w:before="120" w:after="120"/>
        <w:rPr>
          <w:rFonts w:asciiTheme="majorHAnsi" w:hAnsiTheme="majorHAnsi" w:cstheme="majorHAnsi"/>
          <w:b/>
          <w:bCs/>
          <w:sz w:val="20"/>
          <w:szCs w:val="20"/>
        </w:rPr>
      </w:pPr>
    </w:p>
    <w:p w14:paraId="4B43199F" w14:textId="77777777" w:rsidR="003D2F50" w:rsidRPr="003D2F50" w:rsidRDefault="003D2F50" w:rsidP="004E1ED8">
      <w:pPr>
        <w:pStyle w:val="Odstavecseseznamem"/>
        <w:spacing w:before="120" w:after="120"/>
        <w:rPr>
          <w:rFonts w:asciiTheme="majorHAnsi" w:hAnsiTheme="majorHAnsi" w:cstheme="majorHAnsi"/>
          <w:b/>
          <w:bCs/>
          <w:sz w:val="20"/>
          <w:szCs w:val="20"/>
        </w:rPr>
      </w:pPr>
    </w:p>
    <w:sdt>
      <w:sdtPr>
        <w:rPr>
          <w:rFonts w:asciiTheme="minorHAnsi" w:eastAsiaTheme="minorHAnsi" w:hAnsiTheme="minorHAnsi" w:cstheme="minorBidi"/>
          <w:color w:val="auto"/>
          <w:sz w:val="22"/>
          <w:szCs w:val="22"/>
          <w:lang w:val="cs-CZ" w:eastAsia="en-US"/>
        </w:rPr>
        <w:id w:val="1943646229"/>
        <w:docPartObj>
          <w:docPartGallery w:val="Table of Contents"/>
          <w:docPartUnique/>
        </w:docPartObj>
      </w:sdtPr>
      <w:sdtEndPr>
        <w:rPr>
          <w:b/>
          <w:bCs/>
        </w:rPr>
      </w:sdtEndPr>
      <w:sdtContent>
        <w:p w14:paraId="4D6F7DD5" w14:textId="02802E28" w:rsidR="004E1ED8" w:rsidRPr="008E3A21" w:rsidRDefault="004E1ED8" w:rsidP="008E3A21">
          <w:pPr>
            <w:pStyle w:val="Nadpisobsahu"/>
            <w:spacing w:after="120"/>
            <w:rPr>
              <w:rFonts w:asciiTheme="minorHAnsi" w:hAnsiTheme="minorHAnsi" w:cstheme="minorHAnsi"/>
              <w:color w:val="auto"/>
            </w:rPr>
          </w:pPr>
          <w:r w:rsidRPr="008E3A21">
            <w:rPr>
              <w:rFonts w:asciiTheme="minorHAnsi" w:hAnsiTheme="minorHAnsi" w:cstheme="minorHAnsi"/>
              <w:color w:val="auto"/>
              <w:lang w:val="cs-CZ"/>
            </w:rPr>
            <w:t>Obsah</w:t>
          </w:r>
        </w:p>
        <w:p w14:paraId="2D5E67ED" w14:textId="5F736865" w:rsidR="00DD7729" w:rsidRDefault="004E1ED8" w:rsidP="00DD7729">
          <w:pPr>
            <w:pStyle w:val="Obsah1"/>
            <w:rPr>
              <w:rFonts w:eastAsiaTheme="minorEastAsia"/>
              <w:lang w:eastAsia="sk-SK"/>
            </w:rPr>
          </w:pPr>
          <w:r>
            <w:fldChar w:fldCharType="begin"/>
          </w:r>
          <w:r>
            <w:instrText xml:space="preserve"> TOC \o "1-3" \h \z \u </w:instrText>
          </w:r>
          <w:r>
            <w:fldChar w:fldCharType="separate"/>
          </w:r>
          <w:hyperlink w:anchor="_Toc62576759" w:history="1">
            <w:r w:rsidR="00DD7729" w:rsidRPr="00DD7729">
              <w:rPr>
                <w:rStyle w:val="Hypertextovodkaz"/>
              </w:rPr>
              <w:t>1.</w:t>
            </w:r>
            <w:r w:rsidR="00DD7729" w:rsidRPr="00DD7729">
              <w:rPr>
                <w:rFonts w:eastAsiaTheme="minorEastAsia"/>
                <w:lang w:eastAsia="sk-SK"/>
              </w:rPr>
              <w:t xml:space="preserve"> </w:t>
            </w:r>
            <w:r w:rsidR="00DD7729" w:rsidRPr="00DD7729">
              <w:rPr>
                <w:rStyle w:val="Hypertextovodkaz"/>
              </w:rPr>
              <w:t>Zhrnutie</w:t>
            </w:r>
            <w:r w:rsidR="00DD7729">
              <w:rPr>
                <w:webHidden/>
              </w:rPr>
              <w:tab/>
            </w:r>
            <w:r w:rsidR="00DD7729">
              <w:rPr>
                <w:webHidden/>
              </w:rPr>
              <w:fldChar w:fldCharType="begin"/>
            </w:r>
            <w:r w:rsidR="00DD7729">
              <w:rPr>
                <w:webHidden/>
              </w:rPr>
              <w:instrText xml:space="preserve"> PAGEREF _Toc62576759 \h </w:instrText>
            </w:r>
            <w:r w:rsidR="00DD7729">
              <w:rPr>
                <w:webHidden/>
              </w:rPr>
            </w:r>
            <w:r w:rsidR="00DD7729">
              <w:rPr>
                <w:webHidden/>
              </w:rPr>
              <w:fldChar w:fldCharType="separate"/>
            </w:r>
            <w:r w:rsidR="00DD7729">
              <w:rPr>
                <w:webHidden/>
              </w:rPr>
              <w:t>3</w:t>
            </w:r>
            <w:r w:rsidR="00DD7729">
              <w:rPr>
                <w:webHidden/>
              </w:rPr>
              <w:fldChar w:fldCharType="end"/>
            </w:r>
          </w:hyperlink>
        </w:p>
        <w:p w14:paraId="19C5C62B" w14:textId="68BFCBE1" w:rsidR="00DD7729" w:rsidRPr="00DD7729" w:rsidRDefault="005C2C3D" w:rsidP="00DD7729">
          <w:pPr>
            <w:pStyle w:val="Obsah1"/>
            <w:rPr>
              <w:rFonts w:eastAsiaTheme="minorEastAsia"/>
              <w:lang w:eastAsia="sk-SK"/>
            </w:rPr>
          </w:pPr>
          <w:hyperlink w:anchor="_Toc62576760" w:history="1">
            <w:r w:rsidR="00DD7729" w:rsidRPr="00DD7729">
              <w:rPr>
                <w:rStyle w:val="Hypertextovodkaz"/>
              </w:rPr>
              <w:t>2. Popis súčasného stavu</w:t>
            </w:r>
            <w:r w:rsidR="00DD7729" w:rsidRPr="00DD7729">
              <w:rPr>
                <w:webHidden/>
              </w:rPr>
              <w:tab/>
            </w:r>
            <w:r w:rsidR="00DD7729" w:rsidRPr="00DD7729">
              <w:rPr>
                <w:webHidden/>
              </w:rPr>
              <w:fldChar w:fldCharType="begin"/>
            </w:r>
            <w:r w:rsidR="00DD7729" w:rsidRPr="00DD7729">
              <w:rPr>
                <w:webHidden/>
              </w:rPr>
              <w:instrText xml:space="preserve"> PAGEREF _Toc62576760 \h </w:instrText>
            </w:r>
            <w:r w:rsidR="00DD7729" w:rsidRPr="00DD7729">
              <w:rPr>
                <w:webHidden/>
              </w:rPr>
            </w:r>
            <w:r w:rsidR="00DD7729" w:rsidRPr="00DD7729">
              <w:rPr>
                <w:webHidden/>
              </w:rPr>
              <w:fldChar w:fldCharType="separate"/>
            </w:r>
            <w:r w:rsidR="00DD7729" w:rsidRPr="00DD7729">
              <w:rPr>
                <w:webHidden/>
              </w:rPr>
              <w:t>5</w:t>
            </w:r>
            <w:r w:rsidR="00DD7729" w:rsidRPr="00DD7729">
              <w:rPr>
                <w:webHidden/>
              </w:rPr>
              <w:fldChar w:fldCharType="end"/>
            </w:r>
          </w:hyperlink>
        </w:p>
        <w:p w14:paraId="535015A5" w14:textId="358CA6EA" w:rsidR="00DD7729" w:rsidRDefault="005C2C3D">
          <w:pPr>
            <w:pStyle w:val="Obsah2"/>
            <w:tabs>
              <w:tab w:val="left" w:pos="880"/>
              <w:tab w:val="right" w:leader="dot" w:pos="9062"/>
            </w:tabs>
            <w:rPr>
              <w:rFonts w:eastAsiaTheme="minorEastAsia"/>
              <w:noProof/>
              <w:lang w:eastAsia="sk-SK"/>
            </w:rPr>
          </w:pPr>
          <w:hyperlink w:anchor="_Toc62576761" w:history="1">
            <w:r w:rsidR="00DD7729" w:rsidRPr="008978F3">
              <w:rPr>
                <w:rStyle w:val="Hypertextovodkaz"/>
                <w:noProof/>
              </w:rPr>
              <w:t>2.1</w:t>
            </w:r>
            <w:r w:rsidR="00DD7729">
              <w:rPr>
                <w:rStyle w:val="Hypertextovodkaz"/>
                <w:noProof/>
              </w:rPr>
              <w:t xml:space="preserve"> </w:t>
            </w:r>
            <w:r w:rsidR="00DD7729" w:rsidRPr="008978F3">
              <w:rPr>
                <w:rStyle w:val="Hypertextovodkaz"/>
                <w:noProof/>
              </w:rPr>
              <w:t>Štatistický prehľad fondu rodinných domov v SR</w:t>
            </w:r>
            <w:r w:rsidR="00DD7729">
              <w:rPr>
                <w:noProof/>
                <w:webHidden/>
              </w:rPr>
              <w:tab/>
            </w:r>
            <w:r w:rsidR="00DD7729">
              <w:rPr>
                <w:noProof/>
                <w:webHidden/>
              </w:rPr>
              <w:fldChar w:fldCharType="begin"/>
            </w:r>
            <w:r w:rsidR="00DD7729">
              <w:rPr>
                <w:noProof/>
                <w:webHidden/>
              </w:rPr>
              <w:instrText xml:space="preserve"> PAGEREF _Toc62576761 \h </w:instrText>
            </w:r>
            <w:r w:rsidR="00DD7729">
              <w:rPr>
                <w:noProof/>
                <w:webHidden/>
              </w:rPr>
            </w:r>
            <w:r w:rsidR="00DD7729">
              <w:rPr>
                <w:noProof/>
                <w:webHidden/>
              </w:rPr>
              <w:fldChar w:fldCharType="separate"/>
            </w:r>
            <w:r w:rsidR="00DD7729">
              <w:rPr>
                <w:noProof/>
                <w:webHidden/>
              </w:rPr>
              <w:t>5</w:t>
            </w:r>
            <w:r w:rsidR="00DD7729">
              <w:rPr>
                <w:noProof/>
                <w:webHidden/>
              </w:rPr>
              <w:fldChar w:fldCharType="end"/>
            </w:r>
          </w:hyperlink>
        </w:p>
        <w:p w14:paraId="425B335B" w14:textId="51FAA946" w:rsidR="00DD7729" w:rsidRDefault="005C2C3D">
          <w:pPr>
            <w:pStyle w:val="Obsah2"/>
            <w:tabs>
              <w:tab w:val="left" w:pos="880"/>
              <w:tab w:val="right" w:leader="dot" w:pos="9062"/>
            </w:tabs>
            <w:rPr>
              <w:rFonts w:eastAsiaTheme="minorEastAsia"/>
              <w:noProof/>
              <w:lang w:eastAsia="sk-SK"/>
            </w:rPr>
          </w:pPr>
          <w:hyperlink w:anchor="_Toc62576762" w:history="1">
            <w:r w:rsidR="00DD7729" w:rsidRPr="008978F3">
              <w:rPr>
                <w:rStyle w:val="Hypertextovodkaz"/>
                <w:noProof/>
              </w:rPr>
              <w:t>2.2</w:t>
            </w:r>
            <w:r w:rsidR="00DD7729">
              <w:rPr>
                <w:rStyle w:val="Hypertextovodkaz"/>
                <w:noProof/>
              </w:rPr>
              <w:t xml:space="preserve"> </w:t>
            </w:r>
            <w:r w:rsidR="00DD7729" w:rsidRPr="008978F3">
              <w:rPr>
                <w:rStyle w:val="Hypertextovodkaz"/>
                <w:noProof/>
              </w:rPr>
              <w:t>Technický pohľad na fond rodinných domov v SR</w:t>
            </w:r>
            <w:r w:rsidR="00DD7729">
              <w:rPr>
                <w:noProof/>
                <w:webHidden/>
              </w:rPr>
              <w:tab/>
            </w:r>
            <w:r w:rsidR="00DD7729">
              <w:rPr>
                <w:noProof/>
                <w:webHidden/>
              </w:rPr>
              <w:fldChar w:fldCharType="begin"/>
            </w:r>
            <w:r w:rsidR="00DD7729">
              <w:rPr>
                <w:noProof/>
                <w:webHidden/>
              </w:rPr>
              <w:instrText xml:space="preserve"> PAGEREF _Toc62576762 \h </w:instrText>
            </w:r>
            <w:r w:rsidR="00DD7729">
              <w:rPr>
                <w:noProof/>
                <w:webHidden/>
              </w:rPr>
            </w:r>
            <w:r w:rsidR="00DD7729">
              <w:rPr>
                <w:noProof/>
                <w:webHidden/>
              </w:rPr>
              <w:fldChar w:fldCharType="separate"/>
            </w:r>
            <w:r w:rsidR="00DD7729">
              <w:rPr>
                <w:noProof/>
                <w:webHidden/>
              </w:rPr>
              <w:t>7</w:t>
            </w:r>
            <w:r w:rsidR="00DD7729">
              <w:rPr>
                <w:noProof/>
                <w:webHidden/>
              </w:rPr>
              <w:fldChar w:fldCharType="end"/>
            </w:r>
          </w:hyperlink>
        </w:p>
        <w:p w14:paraId="3FCE10C9" w14:textId="6E5CE5BC" w:rsidR="00DD7729" w:rsidRDefault="005C2C3D">
          <w:pPr>
            <w:pStyle w:val="Obsah2"/>
            <w:tabs>
              <w:tab w:val="left" w:pos="880"/>
              <w:tab w:val="right" w:leader="dot" w:pos="9062"/>
            </w:tabs>
            <w:rPr>
              <w:rFonts w:eastAsiaTheme="minorEastAsia"/>
              <w:noProof/>
              <w:lang w:eastAsia="sk-SK"/>
            </w:rPr>
          </w:pPr>
          <w:hyperlink w:anchor="_Toc62576763" w:history="1">
            <w:r w:rsidR="00DD7729" w:rsidRPr="008978F3">
              <w:rPr>
                <w:rStyle w:val="Hypertextovodkaz"/>
                <w:noProof/>
              </w:rPr>
              <w:t>2.3</w:t>
            </w:r>
            <w:r w:rsidR="00DD7729">
              <w:rPr>
                <w:rStyle w:val="Hypertextovodkaz"/>
                <w:noProof/>
              </w:rPr>
              <w:t xml:space="preserve"> </w:t>
            </w:r>
            <w:r w:rsidR="00DD7729" w:rsidRPr="008978F3">
              <w:rPr>
                <w:rStyle w:val="Hypertextovodkaz"/>
                <w:noProof/>
              </w:rPr>
              <w:t>Doterajší prístup k obnove rodinných domov</w:t>
            </w:r>
            <w:r w:rsidR="00DD7729">
              <w:rPr>
                <w:noProof/>
                <w:webHidden/>
              </w:rPr>
              <w:tab/>
            </w:r>
            <w:r w:rsidR="00DD7729">
              <w:rPr>
                <w:noProof/>
                <w:webHidden/>
              </w:rPr>
              <w:fldChar w:fldCharType="begin"/>
            </w:r>
            <w:r w:rsidR="00DD7729">
              <w:rPr>
                <w:noProof/>
                <w:webHidden/>
              </w:rPr>
              <w:instrText xml:space="preserve"> PAGEREF _Toc62576763 \h </w:instrText>
            </w:r>
            <w:r w:rsidR="00DD7729">
              <w:rPr>
                <w:noProof/>
                <w:webHidden/>
              </w:rPr>
            </w:r>
            <w:r w:rsidR="00DD7729">
              <w:rPr>
                <w:noProof/>
                <w:webHidden/>
              </w:rPr>
              <w:fldChar w:fldCharType="separate"/>
            </w:r>
            <w:r w:rsidR="00DD7729">
              <w:rPr>
                <w:noProof/>
                <w:webHidden/>
              </w:rPr>
              <w:t>7</w:t>
            </w:r>
            <w:r w:rsidR="00DD7729">
              <w:rPr>
                <w:noProof/>
                <w:webHidden/>
              </w:rPr>
              <w:fldChar w:fldCharType="end"/>
            </w:r>
          </w:hyperlink>
        </w:p>
        <w:p w14:paraId="5F66C9FB" w14:textId="29E6288C" w:rsidR="00DD7729" w:rsidRDefault="005C2C3D">
          <w:pPr>
            <w:pStyle w:val="Obsah3"/>
            <w:tabs>
              <w:tab w:val="left" w:pos="1320"/>
              <w:tab w:val="right" w:leader="dot" w:pos="9062"/>
            </w:tabs>
            <w:rPr>
              <w:rFonts w:eastAsiaTheme="minorEastAsia"/>
              <w:noProof/>
              <w:lang w:eastAsia="sk-SK"/>
            </w:rPr>
          </w:pPr>
          <w:hyperlink w:anchor="_Toc62576764" w:history="1">
            <w:r w:rsidR="00DD7729" w:rsidRPr="008978F3">
              <w:rPr>
                <w:rStyle w:val="Hypertextovodkaz"/>
                <w:noProof/>
                <w:lang w:eastAsia="sk-SK"/>
              </w:rPr>
              <w:t>2.3.1</w:t>
            </w:r>
            <w:r w:rsidR="00DD7729">
              <w:rPr>
                <w:rStyle w:val="Hypertextovodkaz"/>
                <w:noProof/>
                <w:lang w:eastAsia="sk-SK"/>
              </w:rPr>
              <w:t xml:space="preserve"> </w:t>
            </w:r>
            <w:r w:rsidR="00DD7729" w:rsidRPr="008978F3">
              <w:rPr>
                <w:rStyle w:val="Hypertextovodkaz"/>
                <w:noProof/>
                <w:lang w:eastAsia="sk-SK"/>
              </w:rPr>
              <w:t>Nedostatky pri obnove rodinných domov</w:t>
            </w:r>
            <w:r w:rsidR="00DD7729">
              <w:rPr>
                <w:noProof/>
                <w:webHidden/>
              </w:rPr>
              <w:tab/>
            </w:r>
            <w:r w:rsidR="00DD7729">
              <w:rPr>
                <w:noProof/>
                <w:webHidden/>
              </w:rPr>
              <w:fldChar w:fldCharType="begin"/>
            </w:r>
            <w:r w:rsidR="00DD7729">
              <w:rPr>
                <w:noProof/>
                <w:webHidden/>
              </w:rPr>
              <w:instrText xml:space="preserve"> PAGEREF _Toc62576764 \h </w:instrText>
            </w:r>
            <w:r w:rsidR="00DD7729">
              <w:rPr>
                <w:noProof/>
                <w:webHidden/>
              </w:rPr>
            </w:r>
            <w:r w:rsidR="00DD7729">
              <w:rPr>
                <w:noProof/>
                <w:webHidden/>
              </w:rPr>
              <w:fldChar w:fldCharType="separate"/>
            </w:r>
            <w:r w:rsidR="00DD7729">
              <w:rPr>
                <w:noProof/>
                <w:webHidden/>
              </w:rPr>
              <w:t>8</w:t>
            </w:r>
            <w:r w:rsidR="00DD7729">
              <w:rPr>
                <w:noProof/>
                <w:webHidden/>
              </w:rPr>
              <w:fldChar w:fldCharType="end"/>
            </w:r>
          </w:hyperlink>
        </w:p>
        <w:p w14:paraId="055F8FA8" w14:textId="205E87CB" w:rsidR="00DD7729" w:rsidRDefault="005C2C3D">
          <w:pPr>
            <w:pStyle w:val="Obsah3"/>
            <w:tabs>
              <w:tab w:val="left" w:pos="1320"/>
              <w:tab w:val="right" w:leader="dot" w:pos="9062"/>
            </w:tabs>
            <w:rPr>
              <w:rFonts w:eastAsiaTheme="minorEastAsia"/>
              <w:noProof/>
              <w:lang w:eastAsia="sk-SK"/>
            </w:rPr>
          </w:pPr>
          <w:hyperlink w:anchor="_Toc62576765" w:history="1">
            <w:r w:rsidR="00DD7729" w:rsidRPr="008978F3">
              <w:rPr>
                <w:rStyle w:val="Hypertextovodkaz"/>
                <w:noProof/>
                <w:lang w:eastAsia="sk-SK"/>
              </w:rPr>
              <w:t>2.3.2</w:t>
            </w:r>
            <w:r w:rsidR="00DD7729">
              <w:rPr>
                <w:rStyle w:val="Hypertextovodkaz"/>
                <w:noProof/>
                <w:lang w:eastAsia="sk-SK"/>
              </w:rPr>
              <w:t xml:space="preserve"> </w:t>
            </w:r>
            <w:r w:rsidR="00DD7729" w:rsidRPr="008978F3">
              <w:rPr>
                <w:rStyle w:val="Hypertextovodkaz"/>
                <w:noProof/>
                <w:lang w:eastAsia="sk-SK"/>
              </w:rPr>
              <w:t>Prehľad certifikovaných obnov rodinných domov</w:t>
            </w:r>
            <w:r w:rsidR="00DD7729">
              <w:rPr>
                <w:noProof/>
                <w:webHidden/>
              </w:rPr>
              <w:tab/>
            </w:r>
            <w:r w:rsidR="00DD7729">
              <w:rPr>
                <w:noProof/>
                <w:webHidden/>
              </w:rPr>
              <w:fldChar w:fldCharType="begin"/>
            </w:r>
            <w:r w:rsidR="00DD7729">
              <w:rPr>
                <w:noProof/>
                <w:webHidden/>
              </w:rPr>
              <w:instrText xml:space="preserve"> PAGEREF _Toc62576765 \h </w:instrText>
            </w:r>
            <w:r w:rsidR="00DD7729">
              <w:rPr>
                <w:noProof/>
                <w:webHidden/>
              </w:rPr>
            </w:r>
            <w:r w:rsidR="00DD7729">
              <w:rPr>
                <w:noProof/>
                <w:webHidden/>
              </w:rPr>
              <w:fldChar w:fldCharType="separate"/>
            </w:r>
            <w:r w:rsidR="00DD7729">
              <w:rPr>
                <w:noProof/>
                <w:webHidden/>
              </w:rPr>
              <w:t>8</w:t>
            </w:r>
            <w:r w:rsidR="00DD7729">
              <w:rPr>
                <w:noProof/>
                <w:webHidden/>
              </w:rPr>
              <w:fldChar w:fldCharType="end"/>
            </w:r>
          </w:hyperlink>
        </w:p>
        <w:p w14:paraId="3E16E1F8" w14:textId="518C6CB8" w:rsidR="00DD7729" w:rsidRDefault="005C2C3D">
          <w:pPr>
            <w:pStyle w:val="Obsah2"/>
            <w:tabs>
              <w:tab w:val="left" w:pos="880"/>
              <w:tab w:val="right" w:leader="dot" w:pos="9062"/>
            </w:tabs>
            <w:rPr>
              <w:rFonts w:eastAsiaTheme="minorEastAsia"/>
              <w:noProof/>
              <w:lang w:eastAsia="sk-SK"/>
            </w:rPr>
          </w:pPr>
          <w:hyperlink w:anchor="_Toc62576766" w:history="1">
            <w:r w:rsidR="00DD7729" w:rsidRPr="008978F3">
              <w:rPr>
                <w:rStyle w:val="Hypertextovodkaz"/>
                <w:noProof/>
              </w:rPr>
              <w:t>2.4</w:t>
            </w:r>
            <w:r w:rsidR="00DD7729">
              <w:rPr>
                <w:rStyle w:val="Hypertextovodkaz"/>
                <w:noProof/>
              </w:rPr>
              <w:t xml:space="preserve"> </w:t>
            </w:r>
            <w:r w:rsidR="00DD7729" w:rsidRPr="008978F3">
              <w:rPr>
                <w:rStyle w:val="Hypertextovodkaz"/>
                <w:noProof/>
              </w:rPr>
              <w:t>Zhodnotenie potenciálu pre obnovu rodinných domov</w:t>
            </w:r>
            <w:r w:rsidR="00DD7729">
              <w:rPr>
                <w:noProof/>
                <w:webHidden/>
              </w:rPr>
              <w:tab/>
            </w:r>
            <w:r w:rsidR="00DD7729">
              <w:rPr>
                <w:noProof/>
                <w:webHidden/>
              </w:rPr>
              <w:fldChar w:fldCharType="begin"/>
            </w:r>
            <w:r w:rsidR="00DD7729">
              <w:rPr>
                <w:noProof/>
                <w:webHidden/>
              </w:rPr>
              <w:instrText xml:space="preserve"> PAGEREF _Toc62576766 \h </w:instrText>
            </w:r>
            <w:r w:rsidR="00DD7729">
              <w:rPr>
                <w:noProof/>
                <w:webHidden/>
              </w:rPr>
            </w:r>
            <w:r w:rsidR="00DD7729">
              <w:rPr>
                <w:noProof/>
                <w:webHidden/>
              </w:rPr>
              <w:fldChar w:fldCharType="separate"/>
            </w:r>
            <w:r w:rsidR="00DD7729">
              <w:rPr>
                <w:noProof/>
                <w:webHidden/>
              </w:rPr>
              <w:t>9</w:t>
            </w:r>
            <w:r w:rsidR="00DD7729">
              <w:rPr>
                <w:noProof/>
                <w:webHidden/>
              </w:rPr>
              <w:fldChar w:fldCharType="end"/>
            </w:r>
          </w:hyperlink>
        </w:p>
        <w:p w14:paraId="0EE7BAF1" w14:textId="3E59E493" w:rsidR="00DD7729" w:rsidRDefault="005C2C3D" w:rsidP="00DD7729">
          <w:pPr>
            <w:pStyle w:val="Obsah1"/>
            <w:rPr>
              <w:rFonts w:eastAsiaTheme="minorEastAsia"/>
              <w:lang w:eastAsia="sk-SK"/>
            </w:rPr>
          </w:pPr>
          <w:hyperlink w:anchor="_Toc62576767" w:history="1">
            <w:r w:rsidR="00DD7729" w:rsidRPr="008978F3">
              <w:rPr>
                <w:rStyle w:val="Hypertextovodkaz"/>
              </w:rPr>
              <w:t>3.</w:t>
            </w:r>
            <w:r w:rsidR="00DD7729">
              <w:rPr>
                <w:rStyle w:val="Hypertextovodkaz"/>
              </w:rPr>
              <w:t xml:space="preserve"> </w:t>
            </w:r>
            <w:r w:rsidR="00DD7729" w:rsidRPr="008978F3">
              <w:rPr>
                <w:rStyle w:val="Hypertextovodkaz"/>
              </w:rPr>
              <w:t>Definovanie referenčných rodinných domov v pôvodnom stave</w:t>
            </w:r>
            <w:r w:rsidR="00DD7729">
              <w:rPr>
                <w:webHidden/>
              </w:rPr>
              <w:tab/>
            </w:r>
            <w:r w:rsidR="00DD7729">
              <w:rPr>
                <w:webHidden/>
              </w:rPr>
              <w:fldChar w:fldCharType="begin"/>
            </w:r>
            <w:r w:rsidR="00DD7729">
              <w:rPr>
                <w:webHidden/>
              </w:rPr>
              <w:instrText xml:space="preserve"> PAGEREF _Toc62576767 \h </w:instrText>
            </w:r>
            <w:r w:rsidR="00DD7729">
              <w:rPr>
                <w:webHidden/>
              </w:rPr>
            </w:r>
            <w:r w:rsidR="00DD7729">
              <w:rPr>
                <w:webHidden/>
              </w:rPr>
              <w:fldChar w:fldCharType="separate"/>
            </w:r>
            <w:r w:rsidR="00DD7729">
              <w:rPr>
                <w:webHidden/>
              </w:rPr>
              <w:t>11</w:t>
            </w:r>
            <w:r w:rsidR="00DD7729">
              <w:rPr>
                <w:webHidden/>
              </w:rPr>
              <w:fldChar w:fldCharType="end"/>
            </w:r>
          </w:hyperlink>
        </w:p>
        <w:p w14:paraId="6AFB6CD7" w14:textId="73C698B4" w:rsidR="00DD7729" w:rsidRDefault="005C2C3D">
          <w:pPr>
            <w:pStyle w:val="Obsah2"/>
            <w:tabs>
              <w:tab w:val="right" w:leader="dot" w:pos="9062"/>
            </w:tabs>
            <w:rPr>
              <w:rFonts w:eastAsiaTheme="minorEastAsia"/>
              <w:noProof/>
              <w:lang w:eastAsia="sk-SK"/>
            </w:rPr>
          </w:pPr>
          <w:hyperlink w:anchor="_Toc62576768" w:history="1">
            <w:r w:rsidR="00DD7729" w:rsidRPr="008978F3">
              <w:rPr>
                <w:rStyle w:val="Hypertextovodkaz"/>
                <w:noProof/>
              </w:rPr>
              <w:t>3.1 Potreba energie na vykurovanie</w:t>
            </w:r>
            <w:r w:rsidR="00DD7729">
              <w:rPr>
                <w:noProof/>
                <w:webHidden/>
              </w:rPr>
              <w:tab/>
            </w:r>
            <w:r w:rsidR="00DD7729">
              <w:rPr>
                <w:noProof/>
                <w:webHidden/>
              </w:rPr>
              <w:fldChar w:fldCharType="begin"/>
            </w:r>
            <w:r w:rsidR="00DD7729">
              <w:rPr>
                <w:noProof/>
                <w:webHidden/>
              </w:rPr>
              <w:instrText xml:space="preserve"> PAGEREF _Toc62576768 \h </w:instrText>
            </w:r>
            <w:r w:rsidR="00DD7729">
              <w:rPr>
                <w:noProof/>
                <w:webHidden/>
              </w:rPr>
            </w:r>
            <w:r w:rsidR="00DD7729">
              <w:rPr>
                <w:noProof/>
                <w:webHidden/>
              </w:rPr>
              <w:fldChar w:fldCharType="separate"/>
            </w:r>
            <w:r w:rsidR="00DD7729">
              <w:rPr>
                <w:noProof/>
                <w:webHidden/>
              </w:rPr>
              <w:t>13</w:t>
            </w:r>
            <w:r w:rsidR="00DD7729">
              <w:rPr>
                <w:noProof/>
                <w:webHidden/>
              </w:rPr>
              <w:fldChar w:fldCharType="end"/>
            </w:r>
          </w:hyperlink>
        </w:p>
        <w:p w14:paraId="4A8B6446" w14:textId="144343DA" w:rsidR="00DD7729" w:rsidRDefault="005C2C3D">
          <w:pPr>
            <w:pStyle w:val="Obsah2"/>
            <w:tabs>
              <w:tab w:val="left" w:pos="880"/>
              <w:tab w:val="right" w:leader="dot" w:pos="9062"/>
            </w:tabs>
            <w:rPr>
              <w:rFonts w:eastAsiaTheme="minorEastAsia"/>
              <w:noProof/>
              <w:lang w:eastAsia="sk-SK"/>
            </w:rPr>
          </w:pPr>
          <w:hyperlink w:anchor="_Toc62576769" w:history="1">
            <w:r w:rsidR="00DD7729" w:rsidRPr="008978F3">
              <w:rPr>
                <w:rStyle w:val="Hypertextovodkaz"/>
                <w:noProof/>
              </w:rPr>
              <w:t>3.2</w:t>
            </w:r>
            <w:r w:rsidR="00DD7729">
              <w:rPr>
                <w:rStyle w:val="Hypertextovodkaz"/>
                <w:noProof/>
              </w:rPr>
              <w:t xml:space="preserve"> </w:t>
            </w:r>
            <w:r w:rsidR="00DD7729" w:rsidRPr="008978F3">
              <w:rPr>
                <w:rStyle w:val="Hypertextovodkaz"/>
                <w:noProof/>
              </w:rPr>
              <w:t>Potreba energie na prípravu TUV</w:t>
            </w:r>
            <w:r w:rsidR="00DD7729">
              <w:rPr>
                <w:noProof/>
                <w:webHidden/>
              </w:rPr>
              <w:tab/>
            </w:r>
            <w:r w:rsidR="00DD7729">
              <w:rPr>
                <w:noProof/>
                <w:webHidden/>
              </w:rPr>
              <w:fldChar w:fldCharType="begin"/>
            </w:r>
            <w:r w:rsidR="00DD7729">
              <w:rPr>
                <w:noProof/>
                <w:webHidden/>
              </w:rPr>
              <w:instrText xml:space="preserve"> PAGEREF _Toc62576769 \h </w:instrText>
            </w:r>
            <w:r w:rsidR="00DD7729">
              <w:rPr>
                <w:noProof/>
                <w:webHidden/>
              </w:rPr>
            </w:r>
            <w:r w:rsidR="00DD7729">
              <w:rPr>
                <w:noProof/>
                <w:webHidden/>
              </w:rPr>
              <w:fldChar w:fldCharType="separate"/>
            </w:r>
            <w:r w:rsidR="00DD7729">
              <w:rPr>
                <w:noProof/>
                <w:webHidden/>
              </w:rPr>
              <w:t>14</w:t>
            </w:r>
            <w:r w:rsidR="00DD7729">
              <w:rPr>
                <w:noProof/>
                <w:webHidden/>
              </w:rPr>
              <w:fldChar w:fldCharType="end"/>
            </w:r>
          </w:hyperlink>
        </w:p>
        <w:p w14:paraId="6092A81F" w14:textId="447A9D8E" w:rsidR="00DD7729" w:rsidRDefault="005C2C3D">
          <w:pPr>
            <w:pStyle w:val="Obsah2"/>
            <w:tabs>
              <w:tab w:val="left" w:pos="880"/>
              <w:tab w:val="right" w:leader="dot" w:pos="9062"/>
            </w:tabs>
            <w:rPr>
              <w:rFonts w:eastAsiaTheme="minorEastAsia"/>
              <w:noProof/>
              <w:lang w:eastAsia="sk-SK"/>
            </w:rPr>
          </w:pPr>
          <w:hyperlink w:anchor="_Toc62576770" w:history="1">
            <w:r w:rsidR="00DD7729" w:rsidRPr="008978F3">
              <w:rPr>
                <w:rStyle w:val="Hypertextovodkaz"/>
                <w:noProof/>
              </w:rPr>
              <w:t>3.3</w:t>
            </w:r>
            <w:r w:rsidR="00DD7729">
              <w:rPr>
                <w:rStyle w:val="Hypertextovodkaz"/>
                <w:noProof/>
              </w:rPr>
              <w:t xml:space="preserve"> </w:t>
            </w:r>
            <w:r w:rsidR="00DD7729" w:rsidRPr="008978F3">
              <w:rPr>
                <w:rStyle w:val="Hypertextovodkaz"/>
                <w:noProof/>
              </w:rPr>
              <w:t>Emisie CO</w:t>
            </w:r>
            <w:r w:rsidR="00DD7729" w:rsidRPr="008978F3">
              <w:rPr>
                <w:rStyle w:val="Hypertextovodkaz"/>
                <w:noProof/>
                <w:vertAlign w:val="subscript"/>
              </w:rPr>
              <w:t>2</w:t>
            </w:r>
            <w:r w:rsidR="00DD7729">
              <w:rPr>
                <w:noProof/>
                <w:webHidden/>
              </w:rPr>
              <w:tab/>
            </w:r>
            <w:r w:rsidR="00DD7729">
              <w:rPr>
                <w:noProof/>
                <w:webHidden/>
              </w:rPr>
              <w:fldChar w:fldCharType="begin"/>
            </w:r>
            <w:r w:rsidR="00DD7729">
              <w:rPr>
                <w:noProof/>
                <w:webHidden/>
              </w:rPr>
              <w:instrText xml:space="preserve"> PAGEREF _Toc62576770 \h </w:instrText>
            </w:r>
            <w:r w:rsidR="00DD7729">
              <w:rPr>
                <w:noProof/>
                <w:webHidden/>
              </w:rPr>
            </w:r>
            <w:r w:rsidR="00DD7729">
              <w:rPr>
                <w:noProof/>
                <w:webHidden/>
              </w:rPr>
              <w:fldChar w:fldCharType="separate"/>
            </w:r>
            <w:r w:rsidR="00DD7729">
              <w:rPr>
                <w:noProof/>
                <w:webHidden/>
              </w:rPr>
              <w:t>14</w:t>
            </w:r>
            <w:r w:rsidR="00DD7729">
              <w:rPr>
                <w:noProof/>
                <w:webHidden/>
              </w:rPr>
              <w:fldChar w:fldCharType="end"/>
            </w:r>
          </w:hyperlink>
        </w:p>
        <w:p w14:paraId="75488D2B" w14:textId="72868110" w:rsidR="00DD7729" w:rsidRDefault="005C2C3D" w:rsidP="00DD7729">
          <w:pPr>
            <w:pStyle w:val="Obsah1"/>
            <w:rPr>
              <w:rFonts w:eastAsiaTheme="minorEastAsia"/>
              <w:lang w:eastAsia="sk-SK"/>
            </w:rPr>
          </w:pPr>
          <w:hyperlink w:anchor="_Toc62576771" w:history="1">
            <w:r w:rsidR="00DD7729" w:rsidRPr="008978F3">
              <w:rPr>
                <w:rStyle w:val="Hypertextovodkaz"/>
              </w:rPr>
              <w:t>4.</w:t>
            </w:r>
            <w:r w:rsidR="00DD7729">
              <w:rPr>
                <w:rStyle w:val="Hypertextovodkaz"/>
              </w:rPr>
              <w:t xml:space="preserve"> </w:t>
            </w:r>
            <w:r w:rsidR="00DD7729" w:rsidRPr="008978F3">
              <w:rPr>
                <w:rStyle w:val="Hypertextovodkaz"/>
              </w:rPr>
              <w:t>Definovanie troch úrovní obnovy</w:t>
            </w:r>
            <w:r w:rsidR="00DD7729">
              <w:rPr>
                <w:webHidden/>
              </w:rPr>
              <w:tab/>
            </w:r>
            <w:r w:rsidR="00DD7729">
              <w:rPr>
                <w:webHidden/>
              </w:rPr>
              <w:fldChar w:fldCharType="begin"/>
            </w:r>
            <w:r w:rsidR="00DD7729">
              <w:rPr>
                <w:webHidden/>
              </w:rPr>
              <w:instrText xml:space="preserve"> PAGEREF _Toc62576771 \h </w:instrText>
            </w:r>
            <w:r w:rsidR="00DD7729">
              <w:rPr>
                <w:webHidden/>
              </w:rPr>
            </w:r>
            <w:r w:rsidR="00DD7729">
              <w:rPr>
                <w:webHidden/>
              </w:rPr>
              <w:fldChar w:fldCharType="separate"/>
            </w:r>
            <w:r w:rsidR="00DD7729">
              <w:rPr>
                <w:webHidden/>
              </w:rPr>
              <w:t>15</w:t>
            </w:r>
            <w:r w:rsidR="00DD7729">
              <w:rPr>
                <w:webHidden/>
              </w:rPr>
              <w:fldChar w:fldCharType="end"/>
            </w:r>
          </w:hyperlink>
        </w:p>
        <w:p w14:paraId="7B5C97A3" w14:textId="6E4B945E" w:rsidR="00DD7729" w:rsidRDefault="005C2C3D">
          <w:pPr>
            <w:pStyle w:val="Obsah2"/>
            <w:tabs>
              <w:tab w:val="right" w:leader="dot" w:pos="9062"/>
            </w:tabs>
            <w:rPr>
              <w:rFonts w:eastAsiaTheme="minorEastAsia"/>
              <w:noProof/>
              <w:lang w:eastAsia="sk-SK"/>
            </w:rPr>
          </w:pPr>
          <w:hyperlink w:anchor="_Toc62576772" w:history="1">
            <w:r w:rsidR="00DD7729" w:rsidRPr="008978F3">
              <w:rPr>
                <w:rStyle w:val="Hypertextovodkaz"/>
                <w:noProof/>
              </w:rPr>
              <w:t>4.1 Potreba energie na vykurovanie</w:t>
            </w:r>
            <w:r w:rsidR="00DD7729">
              <w:rPr>
                <w:noProof/>
                <w:webHidden/>
              </w:rPr>
              <w:tab/>
            </w:r>
            <w:r w:rsidR="00DD7729">
              <w:rPr>
                <w:noProof/>
                <w:webHidden/>
              </w:rPr>
              <w:fldChar w:fldCharType="begin"/>
            </w:r>
            <w:r w:rsidR="00DD7729">
              <w:rPr>
                <w:noProof/>
                <w:webHidden/>
              </w:rPr>
              <w:instrText xml:space="preserve"> PAGEREF _Toc62576772 \h </w:instrText>
            </w:r>
            <w:r w:rsidR="00DD7729">
              <w:rPr>
                <w:noProof/>
                <w:webHidden/>
              </w:rPr>
            </w:r>
            <w:r w:rsidR="00DD7729">
              <w:rPr>
                <w:noProof/>
                <w:webHidden/>
              </w:rPr>
              <w:fldChar w:fldCharType="separate"/>
            </w:r>
            <w:r w:rsidR="00DD7729">
              <w:rPr>
                <w:noProof/>
                <w:webHidden/>
              </w:rPr>
              <w:t>15</w:t>
            </w:r>
            <w:r w:rsidR="00DD7729">
              <w:rPr>
                <w:noProof/>
                <w:webHidden/>
              </w:rPr>
              <w:fldChar w:fldCharType="end"/>
            </w:r>
          </w:hyperlink>
        </w:p>
        <w:p w14:paraId="2A325382" w14:textId="22C2C7EE" w:rsidR="00DD7729" w:rsidRDefault="005C2C3D">
          <w:pPr>
            <w:pStyle w:val="Obsah2"/>
            <w:tabs>
              <w:tab w:val="right" w:leader="dot" w:pos="9062"/>
            </w:tabs>
            <w:rPr>
              <w:rFonts w:eastAsiaTheme="minorEastAsia"/>
              <w:noProof/>
              <w:lang w:eastAsia="sk-SK"/>
            </w:rPr>
          </w:pPr>
          <w:hyperlink w:anchor="_Toc62576773" w:history="1">
            <w:r w:rsidR="00DD7729" w:rsidRPr="008978F3">
              <w:rPr>
                <w:rStyle w:val="Hypertextovodkaz"/>
                <w:noProof/>
              </w:rPr>
              <w:t>4.2 Potreba energie na prípravu TUV</w:t>
            </w:r>
            <w:r w:rsidR="00DD7729">
              <w:rPr>
                <w:noProof/>
                <w:webHidden/>
              </w:rPr>
              <w:tab/>
            </w:r>
            <w:r w:rsidR="00DD7729">
              <w:rPr>
                <w:noProof/>
                <w:webHidden/>
              </w:rPr>
              <w:fldChar w:fldCharType="begin"/>
            </w:r>
            <w:r w:rsidR="00DD7729">
              <w:rPr>
                <w:noProof/>
                <w:webHidden/>
              </w:rPr>
              <w:instrText xml:space="preserve"> PAGEREF _Toc62576773 \h </w:instrText>
            </w:r>
            <w:r w:rsidR="00DD7729">
              <w:rPr>
                <w:noProof/>
                <w:webHidden/>
              </w:rPr>
            </w:r>
            <w:r w:rsidR="00DD7729">
              <w:rPr>
                <w:noProof/>
                <w:webHidden/>
              </w:rPr>
              <w:fldChar w:fldCharType="separate"/>
            </w:r>
            <w:r w:rsidR="00DD7729">
              <w:rPr>
                <w:noProof/>
                <w:webHidden/>
              </w:rPr>
              <w:t>16</w:t>
            </w:r>
            <w:r w:rsidR="00DD7729">
              <w:rPr>
                <w:noProof/>
                <w:webHidden/>
              </w:rPr>
              <w:fldChar w:fldCharType="end"/>
            </w:r>
          </w:hyperlink>
        </w:p>
        <w:p w14:paraId="67BA6F7A" w14:textId="4A6010AC" w:rsidR="00DD7729" w:rsidRDefault="005C2C3D">
          <w:pPr>
            <w:pStyle w:val="Obsah2"/>
            <w:tabs>
              <w:tab w:val="right" w:leader="dot" w:pos="9062"/>
            </w:tabs>
            <w:rPr>
              <w:rFonts w:eastAsiaTheme="minorEastAsia"/>
              <w:noProof/>
              <w:lang w:eastAsia="sk-SK"/>
            </w:rPr>
          </w:pPr>
          <w:hyperlink w:anchor="_Toc62576774" w:history="1">
            <w:r w:rsidR="00DD7729" w:rsidRPr="008978F3">
              <w:rPr>
                <w:rStyle w:val="Hypertextovodkaz"/>
                <w:noProof/>
              </w:rPr>
              <w:t>4.3 Emisie CO2</w:t>
            </w:r>
            <w:r w:rsidR="00DD7729">
              <w:rPr>
                <w:noProof/>
                <w:webHidden/>
              </w:rPr>
              <w:tab/>
            </w:r>
            <w:r w:rsidR="00DD7729">
              <w:rPr>
                <w:noProof/>
                <w:webHidden/>
              </w:rPr>
              <w:fldChar w:fldCharType="begin"/>
            </w:r>
            <w:r w:rsidR="00DD7729">
              <w:rPr>
                <w:noProof/>
                <w:webHidden/>
              </w:rPr>
              <w:instrText xml:space="preserve"> PAGEREF _Toc62576774 \h </w:instrText>
            </w:r>
            <w:r w:rsidR="00DD7729">
              <w:rPr>
                <w:noProof/>
                <w:webHidden/>
              </w:rPr>
            </w:r>
            <w:r w:rsidR="00DD7729">
              <w:rPr>
                <w:noProof/>
                <w:webHidden/>
              </w:rPr>
              <w:fldChar w:fldCharType="separate"/>
            </w:r>
            <w:r w:rsidR="00DD7729">
              <w:rPr>
                <w:noProof/>
                <w:webHidden/>
              </w:rPr>
              <w:t>16</w:t>
            </w:r>
            <w:r w:rsidR="00DD7729">
              <w:rPr>
                <w:noProof/>
                <w:webHidden/>
              </w:rPr>
              <w:fldChar w:fldCharType="end"/>
            </w:r>
          </w:hyperlink>
        </w:p>
        <w:p w14:paraId="76537F92" w14:textId="2F37927F" w:rsidR="00DD7729" w:rsidRDefault="005C2C3D" w:rsidP="00DD7729">
          <w:pPr>
            <w:pStyle w:val="Obsah1"/>
            <w:rPr>
              <w:rFonts w:eastAsiaTheme="minorEastAsia"/>
              <w:lang w:eastAsia="sk-SK"/>
            </w:rPr>
          </w:pPr>
          <w:hyperlink w:anchor="_Toc62576775" w:history="1">
            <w:r w:rsidR="00DD7729" w:rsidRPr="008978F3">
              <w:rPr>
                <w:rStyle w:val="Hypertextovodkaz"/>
              </w:rPr>
              <w:t>5.</w:t>
            </w:r>
            <w:r w:rsidR="00DD7729">
              <w:rPr>
                <w:rStyle w:val="Hypertextovodkaz"/>
              </w:rPr>
              <w:t xml:space="preserve"> </w:t>
            </w:r>
            <w:r w:rsidR="00DD7729" w:rsidRPr="008978F3">
              <w:rPr>
                <w:rStyle w:val="Hypertextovodkaz"/>
              </w:rPr>
              <w:t>Výpočet úspor energie, úspor emisií a náklady</w:t>
            </w:r>
            <w:r w:rsidR="00DD7729">
              <w:rPr>
                <w:webHidden/>
              </w:rPr>
              <w:tab/>
            </w:r>
            <w:r w:rsidR="00DD7729">
              <w:rPr>
                <w:webHidden/>
              </w:rPr>
              <w:fldChar w:fldCharType="begin"/>
            </w:r>
            <w:r w:rsidR="00DD7729">
              <w:rPr>
                <w:webHidden/>
              </w:rPr>
              <w:instrText xml:space="preserve"> PAGEREF _Toc62576775 \h </w:instrText>
            </w:r>
            <w:r w:rsidR="00DD7729">
              <w:rPr>
                <w:webHidden/>
              </w:rPr>
            </w:r>
            <w:r w:rsidR="00DD7729">
              <w:rPr>
                <w:webHidden/>
              </w:rPr>
              <w:fldChar w:fldCharType="separate"/>
            </w:r>
            <w:r w:rsidR="00DD7729">
              <w:rPr>
                <w:webHidden/>
              </w:rPr>
              <w:t>17</w:t>
            </w:r>
            <w:r w:rsidR="00DD7729">
              <w:rPr>
                <w:webHidden/>
              </w:rPr>
              <w:fldChar w:fldCharType="end"/>
            </w:r>
          </w:hyperlink>
        </w:p>
        <w:p w14:paraId="7C520596" w14:textId="36E69B05" w:rsidR="00DD7729" w:rsidRDefault="005C2C3D">
          <w:pPr>
            <w:pStyle w:val="Obsah2"/>
            <w:tabs>
              <w:tab w:val="left" w:pos="880"/>
              <w:tab w:val="right" w:leader="dot" w:pos="9062"/>
            </w:tabs>
            <w:rPr>
              <w:rFonts w:eastAsiaTheme="minorEastAsia"/>
              <w:noProof/>
              <w:lang w:eastAsia="sk-SK"/>
            </w:rPr>
          </w:pPr>
          <w:hyperlink w:anchor="_Toc62576776" w:history="1">
            <w:r w:rsidR="00DD7729" w:rsidRPr="008978F3">
              <w:rPr>
                <w:rStyle w:val="Hypertextovodkaz"/>
                <w:noProof/>
              </w:rPr>
              <w:t>5.1</w:t>
            </w:r>
            <w:r w:rsidR="00DD7729">
              <w:rPr>
                <w:rStyle w:val="Hypertextovodkaz"/>
                <w:noProof/>
              </w:rPr>
              <w:t xml:space="preserve"> </w:t>
            </w:r>
            <w:r w:rsidR="00DD7729" w:rsidRPr="008978F3">
              <w:rPr>
                <w:rStyle w:val="Hypertextovodkaz"/>
                <w:noProof/>
              </w:rPr>
              <w:t>Úspora energie na vykurovanie</w:t>
            </w:r>
            <w:r w:rsidR="00DD7729">
              <w:rPr>
                <w:noProof/>
                <w:webHidden/>
              </w:rPr>
              <w:tab/>
            </w:r>
            <w:r w:rsidR="00DD7729">
              <w:rPr>
                <w:noProof/>
                <w:webHidden/>
              </w:rPr>
              <w:fldChar w:fldCharType="begin"/>
            </w:r>
            <w:r w:rsidR="00DD7729">
              <w:rPr>
                <w:noProof/>
                <w:webHidden/>
              </w:rPr>
              <w:instrText xml:space="preserve"> PAGEREF _Toc62576776 \h </w:instrText>
            </w:r>
            <w:r w:rsidR="00DD7729">
              <w:rPr>
                <w:noProof/>
                <w:webHidden/>
              </w:rPr>
            </w:r>
            <w:r w:rsidR="00DD7729">
              <w:rPr>
                <w:noProof/>
                <w:webHidden/>
              </w:rPr>
              <w:fldChar w:fldCharType="separate"/>
            </w:r>
            <w:r w:rsidR="00DD7729">
              <w:rPr>
                <w:noProof/>
                <w:webHidden/>
              </w:rPr>
              <w:t>17</w:t>
            </w:r>
            <w:r w:rsidR="00DD7729">
              <w:rPr>
                <w:noProof/>
                <w:webHidden/>
              </w:rPr>
              <w:fldChar w:fldCharType="end"/>
            </w:r>
          </w:hyperlink>
        </w:p>
        <w:p w14:paraId="71AD4DF1" w14:textId="757EEFDE" w:rsidR="00DD7729" w:rsidRDefault="005C2C3D">
          <w:pPr>
            <w:pStyle w:val="Obsah2"/>
            <w:tabs>
              <w:tab w:val="left" w:pos="880"/>
              <w:tab w:val="right" w:leader="dot" w:pos="9062"/>
            </w:tabs>
            <w:rPr>
              <w:rFonts w:eastAsiaTheme="minorEastAsia"/>
              <w:noProof/>
              <w:lang w:eastAsia="sk-SK"/>
            </w:rPr>
          </w:pPr>
          <w:hyperlink w:anchor="_Toc62576777" w:history="1">
            <w:r w:rsidR="00DD7729" w:rsidRPr="008978F3">
              <w:rPr>
                <w:rStyle w:val="Hypertextovodkaz"/>
                <w:noProof/>
              </w:rPr>
              <w:t>5.2</w:t>
            </w:r>
            <w:r w:rsidR="00DD7729">
              <w:rPr>
                <w:rStyle w:val="Hypertextovodkaz"/>
                <w:noProof/>
              </w:rPr>
              <w:t xml:space="preserve"> </w:t>
            </w:r>
            <w:r w:rsidR="00DD7729" w:rsidRPr="008978F3">
              <w:rPr>
                <w:rStyle w:val="Hypertextovodkaz"/>
                <w:noProof/>
              </w:rPr>
              <w:t>Úspora energie na prípravu TÚV</w:t>
            </w:r>
            <w:r w:rsidR="00DD7729">
              <w:rPr>
                <w:noProof/>
                <w:webHidden/>
              </w:rPr>
              <w:tab/>
            </w:r>
            <w:r w:rsidR="00DD7729">
              <w:rPr>
                <w:noProof/>
                <w:webHidden/>
              </w:rPr>
              <w:fldChar w:fldCharType="begin"/>
            </w:r>
            <w:r w:rsidR="00DD7729">
              <w:rPr>
                <w:noProof/>
                <w:webHidden/>
              </w:rPr>
              <w:instrText xml:space="preserve"> PAGEREF _Toc62576777 \h </w:instrText>
            </w:r>
            <w:r w:rsidR="00DD7729">
              <w:rPr>
                <w:noProof/>
                <w:webHidden/>
              </w:rPr>
            </w:r>
            <w:r w:rsidR="00DD7729">
              <w:rPr>
                <w:noProof/>
                <w:webHidden/>
              </w:rPr>
              <w:fldChar w:fldCharType="separate"/>
            </w:r>
            <w:r w:rsidR="00DD7729">
              <w:rPr>
                <w:noProof/>
                <w:webHidden/>
              </w:rPr>
              <w:t>18</w:t>
            </w:r>
            <w:r w:rsidR="00DD7729">
              <w:rPr>
                <w:noProof/>
                <w:webHidden/>
              </w:rPr>
              <w:fldChar w:fldCharType="end"/>
            </w:r>
          </w:hyperlink>
        </w:p>
        <w:p w14:paraId="2093F989" w14:textId="41464531" w:rsidR="00DD7729" w:rsidRDefault="005C2C3D">
          <w:pPr>
            <w:pStyle w:val="Obsah2"/>
            <w:tabs>
              <w:tab w:val="right" w:leader="dot" w:pos="9062"/>
            </w:tabs>
            <w:rPr>
              <w:rFonts w:eastAsiaTheme="minorEastAsia"/>
              <w:noProof/>
              <w:lang w:eastAsia="sk-SK"/>
            </w:rPr>
          </w:pPr>
          <w:hyperlink w:anchor="_Toc62576778" w:history="1">
            <w:r w:rsidR="00DD7729" w:rsidRPr="008978F3">
              <w:rPr>
                <w:rStyle w:val="Hypertextovodkaz"/>
                <w:noProof/>
              </w:rPr>
              <w:t>5.3 Úspora celkovej energie</w:t>
            </w:r>
            <w:r w:rsidR="00DD7729">
              <w:rPr>
                <w:noProof/>
                <w:webHidden/>
              </w:rPr>
              <w:tab/>
            </w:r>
            <w:r w:rsidR="00DD7729">
              <w:rPr>
                <w:noProof/>
                <w:webHidden/>
              </w:rPr>
              <w:fldChar w:fldCharType="begin"/>
            </w:r>
            <w:r w:rsidR="00DD7729">
              <w:rPr>
                <w:noProof/>
                <w:webHidden/>
              </w:rPr>
              <w:instrText xml:space="preserve"> PAGEREF _Toc62576778 \h </w:instrText>
            </w:r>
            <w:r w:rsidR="00DD7729">
              <w:rPr>
                <w:noProof/>
                <w:webHidden/>
              </w:rPr>
            </w:r>
            <w:r w:rsidR="00DD7729">
              <w:rPr>
                <w:noProof/>
                <w:webHidden/>
              </w:rPr>
              <w:fldChar w:fldCharType="separate"/>
            </w:r>
            <w:r w:rsidR="00DD7729">
              <w:rPr>
                <w:noProof/>
                <w:webHidden/>
              </w:rPr>
              <w:t>18</w:t>
            </w:r>
            <w:r w:rsidR="00DD7729">
              <w:rPr>
                <w:noProof/>
                <w:webHidden/>
              </w:rPr>
              <w:fldChar w:fldCharType="end"/>
            </w:r>
          </w:hyperlink>
        </w:p>
        <w:p w14:paraId="67D8AE4C" w14:textId="0ADDDEF7" w:rsidR="00DD7729" w:rsidRDefault="005C2C3D">
          <w:pPr>
            <w:pStyle w:val="Obsah2"/>
            <w:tabs>
              <w:tab w:val="right" w:leader="dot" w:pos="9062"/>
            </w:tabs>
            <w:rPr>
              <w:rFonts w:eastAsiaTheme="minorEastAsia"/>
              <w:noProof/>
              <w:lang w:eastAsia="sk-SK"/>
            </w:rPr>
          </w:pPr>
          <w:hyperlink w:anchor="_Toc62576779" w:history="1">
            <w:r w:rsidR="00DD7729" w:rsidRPr="008978F3">
              <w:rPr>
                <w:rStyle w:val="Hypertextovodkaz"/>
                <w:noProof/>
              </w:rPr>
              <w:t>5.3 Zníženie emisií CO</w:t>
            </w:r>
            <w:r w:rsidR="00DD7729" w:rsidRPr="008978F3">
              <w:rPr>
                <w:rStyle w:val="Hypertextovodkaz"/>
                <w:noProof/>
                <w:vertAlign w:val="subscript"/>
              </w:rPr>
              <w:t>2</w:t>
            </w:r>
            <w:r w:rsidR="00DD7729">
              <w:rPr>
                <w:noProof/>
                <w:webHidden/>
              </w:rPr>
              <w:tab/>
            </w:r>
            <w:r w:rsidR="00DD7729">
              <w:rPr>
                <w:noProof/>
                <w:webHidden/>
              </w:rPr>
              <w:fldChar w:fldCharType="begin"/>
            </w:r>
            <w:r w:rsidR="00DD7729">
              <w:rPr>
                <w:noProof/>
                <w:webHidden/>
              </w:rPr>
              <w:instrText xml:space="preserve"> PAGEREF _Toc62576779 \h </w:instrText>
            </w:r>
            <w:r w:rsidR="00DD7729">
              <w:rPr>
                <w:noProof/>
                <w:webHidden/>
              </w:rPr>
            </w:r>
            <w:r w:rsidR="00DD7729">
              <w:rPr>
                <w:noProof/>
                <w:webHidden/>
              </w:rPr>
              <w:fldChar w:fldCharType="separate"/>
            </w:r>
            <w:r w:rsidR="00DD7729">
              <w:rPr>
                <w:noProof/>
                <w:webHidden/>
              </w:rPr>
              <w:t>19</w:t>
            </w:r>
            <w:r w:rsidR="00DD7729">
              <w:rPr>
                <w:noProof/>
                <w:webHidden/>
              </w:rPr>
              <w:fldChar w:fldCharType="end"/>
            </w:r>
          </w:hyperlink>
        </w:p>
        <w:p w14:paraId="7EA375EB" w14:textId="731AC713" w:rsidR="00DD7729" w:rsidRDefault="005C2C3D">
          <w:pPr>
            <w:pStyle w:val="Obsah2"/>
            <w:tabs>
              <w:tab w:val="right" w:leader="dot" w:pos="9062"/>
            </w:tabs>
            <w:rPr>
              <w:rFonts w:eastAsiaTheme="minorEastAsia"/>
              <w:noProof/>
              <w:lang w:eastAsia="sk-SK"/>
            </w:rPr>
          </w:pPr>
          <w:hyperlink w:anchor="_Toc62576780" w:history="1">
            <w:r w:rsidR="00DD7729" w:rsidRPr="008978F3">
              <w:rPr>
                <w:rStyle w:val="Hypertextovodkaz"/>
                <w:noProof/>
              </w:rPr>
              <w:t>5.4 Celkové náklady</w:t>
            </w:r>
            <w:r w:rsidR="00DD7729">
              <w:rPr>
                <w:noProof/>
                <w:webHidden/>
              </w:rPr>
              <w:tab/>
            </w:r>
            <w:r w:rsidR="00DD7729">
              <w:rPr>
                <w:noProof/>
                <w:webHidden/>
              </w:rPr>
              <w:fldChar w:fldCharType="begin"/>
            </w:r>
            <w:r w:rsidR="00DD7729">
              <w:rPr>
                <w:noProof/>
                <w:webHidden/>
              </w:rPr>
              <w:instrText xml:space="preserve"> PAGEREF _Toc62576780 \h </w:instrText>
            </w:r>
            <w:r w:rsidR="00DD7729">
              <w:rPr>
                <w:noProof/>
                <w:webHidden/>
              </w:rPr>
            </w:r>
            <w:r w:rsidR="00DD7729">
              <w:rPr>
                <w:noProof/>
                <w:webHidden/>
              </w:rPr>
              <w:fldChar w:fldCharType="separate"/>
            </w:r>
            <w:r w:rsidR="00DD7729">
              <w:rPr>
                <w:noProof/>
                <w:webHidden/>
              </w:rPr>
              <w:t>19</w:t>
            </w:r>
            <w:r w:rsidR="00DD7729">
              <w:rPr>
                <w:noProof/>
                <w:webHidden/>
              </w:rPr>
              <w:fldChar w:fldCharType="end"/>
            </w:r>
          </w:hyperlink>
        </w:p>
        <w:p w14:paraId="5FEFB02E" w14:textId="4BEB62E7" w:rsidR="00DD7729" w:rsidRDefault="005C2C3D" w:rsidP="00DD7729">
          <w:pPr>
            <w:pStyle w:val="Obsah1"/>
            <w:rPr>
              <w:rFonts w:eastAsiaTheme="minorEastAsia"/>
              <w:lang w:eastAsia="sk-SK"/>
            </w:rPr>
          </w:pPr>
          <w:hyperlink w:anchor="_Toc62576781" w:history="1">
            <w:r w:rsidR="00DD7729" w:rsidRPr="008978F3">
              <w:rPr>
                <w:rStyle w:val="Hypertextovodkaz"/>
              </w:rPr>
              <w:t>6.</w:t>
            </w:r>
            <w:r w:rsidR="00DD7729">
              <w:rPr>
                <w:rStyle w:val="Hypertextovodkaz"/>
              </w:rPr>
              <w:t xml:space="preserve"> </w:t>
            </w:r>
            <w:r w:rsidR="00DD7729" w:rsidRPr="008978F3">
              <w:rPr>
                <w:rStyle w:val="Hypertextovodkaz"/>
              </w:rPr>
              <w:t xml:space="preserve">Definovanie </w:t>
            </w:r>
            <w:r>
              <w:rPr>
                <w:rStyle w:val="Hypertextovodkaz"/>
              </w:rPr>
              <w:t>dvoch</w:t>
            </w:r>
            <w:r w:rsidR="00DD7729" w:rsidRPr="008978F3">
              <w:rPr>
                <w:rStyle w:val="Hypertextovodkaz"/>
              </w:rPr>
              <w:t xml:space="preserve"> scenárov</w:t>
            </w:r>
            <w:r w:rsidR="00DD7729">
              <w:rPr>
                <w:webHidden/>
              </w:rPr>
              <w:tab/>
            </w:r>
            <w:r w:rsidR="00DD7729">
              <w:rPr>
                <w:webHidden/>
              </w:rPr>
              <w:fldChar w:fldCharType="begin"/>
            </w:r>
            <w:r w:rsidR="00DD7729">
              <w:rPr>
                <w:webHidden/>
              </w:rPr>
              <w:instrText xml:space="preserve"> PAGEREF _Toc62576781 \h </w:instrText>
            </w:r>
            <w:r w:rsidR="00DD7729">
              <w:rPr>
                <w:webHidden/>
              </w:rPr>
            </w:r>
            <w:r w:rsidR="00DD7729">
              <w:rPr>
                <w:webHidden/>
              </w:rPr>
              <w:fldChar w:fldCharType="separate"/>
            </w:r>
            <w:r w:rsidR="00DD7729">
              <w:rPr>
                <w:webHidden/>
              </w:rPr>
              <w:t>21</w:t>
            </w:r>
            <w:r w:rsidR="00DD7729">
              <w:rPr>
                <w:webHidden/>
              </w:rPr>
              <w:fldChar w:fldCharType="end"/>
            </w:r>
          </w:hyperlink>
        </w:p>
        <w:p w14:paraId="0946BFA3" w14:textId="7D58A8BE" w:rsidR="00DD7729" w:rsidRDefault="005C2C3D" w:rsidP="00DD7729">
          <w:pPr>
            <w:pStyle w:val="Obsah1"/>
            <w:rPr>
              <w:rFonts w:eastAsiaTheme="minorEastAsia"/>
              <w:lang w:eastAsia="sk-SK"/>
            </w:rPr>
          </w:pPr>
          <w:hyperlink w:anchor="_Toc62576782" w:history="1">
            <w:r w:rsidR="00DD7729" w:rsidRPr="008978F3">
              <w:rPr>
                <w:rStyle w:val="Hypertextovodkaz"/>
              </w:rPr>
              <w:t>7.</w:t>
            </w:r>
            <w:r w:rsidR="00DD7729">
              <w:rPr>
                <w:rStyle w:val="Hypertextovodkaz"/>
              </w:rPr>
              <w:t xml:space="preserve"> </w:t>
            </w:r>
            <w:r w:rsidR="00DD7729" w:rsidRPr="008978F3">
              <w:rPr>
                <w:rStyle w:val="Hypertextovodkaz"/>
              </w:rPr>
              <w:t>Makroekonomický vplyv investícií</w:t>
            </w:r>
            <w:r w:rsidR="00DD7729">
              <w:rPr>
                <w:webHidden/>
              </w:rPr>
              <w:tab/>
            </w:r>
            <w:r w:rsidR="00DD7729">
              <w:rPr>
                <w:webHidden/>
              </w:rPr>
              <w:fldChar w:fldCharType="begin"/>
            </w:r>
            <w:r w:rsidR="00DD7729">
              <w:rPr>
                <w:webHidden/>
              </w:rPr>
              <w:instrText xml:space="preserve"> PAGEREF _Toc62576782 \h </w:instrText>
            </w:r>
            <w:r w:rsidR="00DD7729">
              <w:rPr>
                <w:webHidden/>
              </w:rPr>
            </w:r>
            <w:r w:rsidR="00DD7729">
              <w:rPr>
                <w:webHidden/>
              </w:rPr>
              <w:fldChar w:fldCharType="separate"/>
            </w:r>
            <w:r w:rsidR="00DD7729">
              <w:rPr>
                <w:webHidden/>
              </w:rPr>
              <w:t>25</w:t>
            </w:r>
            <w:r w:rsidR="00DD7729">
              <w:rPr>
                <w:webHidden/>
              </w:rPr>
              <w:fldChar w:fldCharType="end"/>
            </w:r>
          </w:hyperlink>
        </w:p>
        <w:p w14:paraId="7A328B68" w14:textId="3935D785" w:rsidR="00DD7729" w:rsidRDefault="005C2C3D">
          <w:pPr>
            <w:pStyle w:val="Obsah2"/>
            <w:tabs>
              <w:tab w:val="right" w:leader="dot" w:pos="9062"/>
            </w:tabs>
            <w:rPr>
              <w:rFonts w:eastAsiaTheme="minorEastAsia"/>
              <w:noProof/>
              <w:lang w:eastAsia="sk-SK"/>
            </w:rPr>
          </w:pPr>
          <w:hyperlink w:anchor="_Toc62576783" w:history="1">
            <w:r w:rsidR="00DD7729" w:rsidRPr="008978F3">
              <w:rPr>
                <w:rStyle w:val="Hypertextovodkaz"/>
                <w:rFonts w:eastAsia="Times New Roman"/>
                <w:noProof/>
                <w:lang w:eastAsia="sk-SK"/>
              </w:rPr>
              <w:t>7.1 Dopad na HDP</w:t>
            </w:r>
            <w:r w:rsidR="00DD7729">
              <w:rPr>
                <w:noProof/>
                <w:webHidden/>
              </w:rPr>
              <w:tab/>
            </w:r>
            <w:r w:rsidR="00DD7729">
              <w:rPr>
                <w:noProof/>
                <w:webHidden/>
              </w:rPr>
              <w:fldChar w:fldCharType="begin"/>
            </w:r>
            <w:r w:rsidR="00DD7729">
              <w:rPr>
                <w:noProof/>
                <w:webHidden/>
              </w:rPr>
              <w:instrText xml:space="preserve"> PAGEREF _Toc62576783 \h </w:instrText>
            </w:r>
            <w:r w:rsidR="00DD7729">
              <w:rPr>
                <w:noProof/>
                <w:webHidden/>
              </w:rPr>
            </w:r>
            <w:r w:rsidR="00DD7729">
              <w:rPr>
                <w:noProof/>
                <w:webHidden/>
              </w:rPr>
              <w:fldChar w:fldCharType="separate"/>
            </w:r>
            <w:r w:rsidR="00DD7729">
              <w:rPr>
                <w:noProof/>
                <w:webHidden/>
              </w:rPr>
              <w:t>26</w:t>
            </w:r>
            <w:r w:rsidR="00DD7729">
              <w:rPr>
                <w:noProof/>
                <w:webHidden/>
              </w:rPr>
              <w:fldChar w:fldCharType="end"/>
            </w:r>
          </w:hyperlink>
        </w:p>
        <w:p w14:paraId="001B01A8" w14:textId="584779D0" w:rsidR="00DD7729" w:rsidRDefault="005C2C3D">
          <w:pPr>
            <w:pStyle w:val="Obsah2"/>
            <w:tabs>
              <w:tab w:val="left" w:pos="880"/>
              <w:tab w:val="right" w:leader="dot" w:pos="9062"/>
            </w:tabs>
            <w:rPr>
              <w:rFonts w:eastAsiaTheme="minorEastAsia"/>
              <w:noProof/>
              <w:lang w:eastAsia="sk-SK"/>
            </w:rPr>
          </w:pPr>
          <w:hyperlink w:anchor="_Toc62576784" w:history="1">
            <w:r w:rsidR="00DD7729" w:rsidRPr="008978F3">
              <w:rPr>
                <w:rStyle w:val="Hypertextovodkaz"/>
                <w:noProof/>
              </w:rPr>
              <w:t>7.2</w:t>
            </w:r>
            <w:r w:rsidR="00DD7729">
              <w:rPr>
                <w:rStyle w:val="Hypertextovodkaz"/>
                <w:noProof/>
              </w:rPr>
              <w:t xml:space="preserve"> </w:t>
            </w:r>
            <w:r w:rsidR="00DD7729" w:rsidRPr="008978F3">
              <w:rPr>
                <w:rStyle w:val="Hypertextovodkaz"/>
                <w:noProof/>
              </w:rPr>
              <w:t>Tvorba pracovných miest</w:t>
            </w:r>
            <w:r w:rsidR="00DD7729">
              <w:rPr>
                <w:noProof/>
                <w:webHidden/>
              </w:rPr>
              <w:tab/>
            </w:r>
            <w:r w:rsidR="00DD7729">
              <w:rPr>
                <w:noProof/>
                <w:webHidden/>
              </w:rPr>
              <w:fldChar w:fldCharType="begin"/>
            </w:r>
            <w:r w:rsidR="00DD7729">
              <w:rPr>
                <w:noProof/>
                <w:webHidden/>
              </w:rPr>
              <w:instrText xml:space="preserve"> PAGEREF _Toc62576784 \h </w:instrText>
            </w:r>
            <w:r w:rsidR="00DD7729">
              <w:rPr>
                <w:noProof/>
                <w:webHidden/>
              </w:rPr>
            </w:r>
            <w:r w:rsidR="00DD7729">
              <w:rPr>
                <w:noProof/>
                <w:webHidden/>
              </w:rPr>
              <w:fldChar w:fldCharType="separate"/>
            </w:r>
            <w:r w:rsidR="00DD7729">
              <w:rPr>
                <w:noProof/>
                <w:webHidden/>
              </w:rPr>
              <w:t>26</w:t>
            </w:r>
            <w:r w:rsidR="00DD7729">
              <w:rPr>
                <w:noProof/>
                <w:webHidden/>
              </w:rPr>
              <w:fldChar w:fldCharType="end"/>
            </w:r>
          </w:hyperlink>
        </w:p>
        <w:p w14:paraId="271B3AA9" w14:textId="60089F0B" w:rsidR="00DD7729" w:rsidRDefault="005C2C3D">
          <w:pPr>
            <w:pStyle w:val="Obsah2"/>
            <w:tabs>
              <w:tab w:val="left" w:pos="880"/>
              <w:tab w:val="right" w:leader="dot" w:pos="9062"/>
            </w:tabs>
            <w:rPr>
              <w:rFonts w:eastAsiaTheme="minorEastAsia"/>
              <w:noProof/>
              <w:lang w:eastAsia="sk-SK"/>
            </w:rPr>
          </w:pPr>
          <w:hyperlink w:anchor="_Toc62576785" w:history="1">
            <w:r w:rsidR="00DD7729" w:rsidRPr="008978F3">
              <w:rPr>
                <w:rStyle w:val="Hypertextovodkaz"/>
                <w:noProof/>
              </w:rPr>
              <w:t>7.3</w:t>
            </w:r>
            <w:r w:rsidR="00DD7729">
              <w:rPr>
                <w:rStyle w:val="Hypertextovodkaz"/>
                <w:noProof/>
              </w:rPr>
              <w:t xml:space="preserve"> </w:t>
            </w:r>
            <w:r w:rsidR="00DD7729" w:rsidRPr="008978F3">
              <w:rPr>
                <w:rStyle w:val="Hypertextovodkaz"/>
                <w:noProof/>
              </w:rPr>
              <w:t>Prínosy do verejného rozpočtu</w:t>
            </w:r>
            <w:r w:rsidR="00DD7729">
              <w:rPr>
                <w:noProof/>
                <w:webHidden/>
              </w:rPr>
              <w:tab/>
            </w:r>
            <w:r w:rsidR="00DD7729">
              <w:rPr>
                <w:noProof/>
                <w:webHidden/>
              </w:rPr>
              <w:fldChar w:fldCharType="begin"/>
            </w:r>
            <w:r w:rsidR="00DD7729">
              <w:rPr>
                <w:noProof/>
                <w:webHidden/>
              </w:rPr>
              <w:instrText xml:space="preserve"> PAGEREF _Toc62576785 \h </w:instrText>
            </w:r>
            <w:r w:rsidR="00DD7729">
              <w:rPr>
                <w:noProof/>
                <w:webHidden/>
              </w:rPr>
            </w:r>
            <w:r w:rsidR="00DD7729">
              <w:rPr>
                <w:noProof/>
                <w:webHidden/>
              </w:rPr>
              <w:fldChar w:fldCharType="separate"/>
            </w:r>
            <w:r w:rsidR="00DD7729">
              <w:rPr>
                <w:noProof/>
                <w:webHidden/>
              </w:rPr>
              <w:t>27</w:t>
            </w:r>
            <w:r w:rsidR="00DD7729">
              <w:rPr>
                <w:noProof/>
                <w:webHidden/>
              </w:rPr>
              <w:fldChar w:fldCharType="end"/>
            </w:r>
          </w:hyperlink>
        </w:p>
        <w:p w14:paraId="5AA63AD0" w14:textId="7D64270A" w:rsidR="00DD7729" w:rsidRDefault="005C2C3D" w:rsidP="00DD7729">
          <w:pPr>
            <w:pStyle w:val="Obsah1"/>
            <w:rPr>
              <w:rFonts w:eastAsiaTheme="minorEastAsia"/>
              <w:lang w:eastAsia="sk-SK"/>
            </w:rPr>
          </w:pPr>
          <w:hyperlink w:anchor="_Toc62576786" w:history="1">
            <w:r w:rsidR="00DD7729" w:rsidRPr="008978F3">
              <w:rPr>
                <w:rStyle w:val="Hypertextovodkaz"/>
              </w:rPr>
              <w:t>8.</w:t>
            </w:r>
            <w:r w:rsidR="00DD7729">
              <w:rPr>
                <w:rStyle w:val="Hypertextovodkaz"/>
              </w:rPr>
              <w:t xml:space="preserve"> </w:t>
            </w:r>
            <w:r w:rsidR="00DD7729" w:rsidRPr="008978F3">
              <w:rPr>
                <w:rStyle w:val="Hypertextovodkaz"/>
              </w:rPr>
              <w:t>Záver</w:t>
            </w:r>
            <w:r w:rsidR="00DD7729">
              <w:rPr>
                <w:webHidden/>
              </w:rPr>
              <w:tab/>
            </w:r>
            <w:r w:rsidR="00DD7729">
              <w:rPr>
                <w:webHidden/>
              </w:rPr>
              <w:fldChar w:fldCharType="begin"/>
            </w:r>
            <w:r w:rsidR="00DD7729">
              <w:rPr>
                <w:webHidden/>
              </w:rPr>
              <w:instrText xml:space="preserve"> PAGEREF _Toc62576786 \h </w:instrText>
            </w:r>
            <w:r w:rsidR="00DD7729">
              <w:rPr>
                <w:webHidden/>
              </w:rPr>
            </w:r>
            <w:r w:rsidR="00DD7729">
              <w:rPr>
                <w:webHidden/>
              </w:rPr>
              <w:fldChar w:fldCharType="separate"/>
            </w:r>
            <w:r w:rsidR="00DD7729">
              <w:rPr>
                <w:webHidden/>
              </w:rPr>
              <w:t>28</w:t>
            </w:r>
            <w:r w:rsidR="00DD7729">
              <w:rPr>
                <w:webHidden/>
              </w:rPr>
              <w:fldChar w:fldCharType="end"/>
            </w:r>
          </w:hyperlink>
        </w:p>
        <w:p w14:paraId="362B287C" w14:textId="104BED03" w:rsidR="00DD7729" w:rsidRDefault="005C2C3D" w:rsidP="00DD7729">
          <w:pPr>
            <w:pStyle w:val="Obsah1"/>
            <w:rPr>
              <w:rFonts w:eastAsiaTheme="minorEastAsia"/>
              <w:lang w:eastAsia="sk-SK"/>
            </w:rPr>
          </w:pPr>
          <w:hyperlink w:anchor="_Toc62576787" w:history="1">
            <w:r w:rsidR="00DD7729" w:rsidRPr="008978F3">
              <w:rPr>
                <w:rStyle w:val="Hypertextovodkaz"/>
              </w:rPr>
              <w:t>9.</w:t>
            </w:r>
            <w:r w:rsidR="00DD7729">
              <w:rPr>
                <w:rStyle w:val="Hypertextovodkaz"/>
              </w:rPr>
              <w:t xml:space="preserve"> </w:t>
            </w:r>
            <w:r w:rsidR="00DD7729" w:rsidRPr="008978F3">
              <w:rPr>
                <w:rStyle w:val="Hypertextovodkaz"/>
              </w:rPr>
              <w:t>Zdroje</w:t>
            </w:r>
            <w:r w:rsidR="00DD7729">
              <w:rPr>
                <w:webHidden/>
              </w:rPr>
              <w:tab/>
            </w:r>
            <w:r w:rsidR="00DD7729">
              <w:rPr>
                <w:webHidden/>
              </w:rPr>
              <w:fldChar w:fldCharType="begin"/>
            </w:r>
            <w:r w:rsidR="00DD7729">
              <w:rPr>
                <w:webHidden/>
              </w:rPr>
              <w:instrText xml:space="preserve"> PAGEREF _Toc62576787 \h </w:instrText>
            </w:r>
            <w:r w:rsidR="00DD7729">
              <w:rPr>
                <w:webHidden/>
              </w:rPr>
            </w:r>
            <w:r w:rsidR="00DD7729">
              <w:rPr>
                <w:webHidden/>
              </w:rPr>
              <w:fldChar w:fldCharType="separate"/>
            </w:r>
            <w:r w:rsidR="00DD7729">
              <w:rPr>
                <w:webHidden/>
              </w:rPr>
              <w:t>29</w:t>
            </w:r>
            <w:r w:rsidR="00DD7729">
              <w:rPr>
                <w:webHidden/>
              </w:rPr>
              <w:fldChar w:fldCharType="end"/>
            </w:r>
          </w:hyperlink>
        </w:p>
        <w:p w14:paraId="30BCFE9B" w14:textId="0FCD07B8" w:rsidR="00DD7729" w:rsidRDefault="005C2C3D" w:rsidP="00DD7729">
          <w:pPr>
            <w:pStyle w:val="Obsah1"/>
            <w:rPr>
              <w:rFonts w:eastAsiaTheme="minorEastAsia"/>
              <w:lang w:eastAsia="sk-SK"/>
            </w:rPr>
          </w:pPr>
          <w:hyperlink w:anchor="_Toc62576788" w:history="1">
            <w:r w:rsidR="00DD7729" w:rsidRPr="008978F3">
              <w:rPr>
                <w:rStyle w:val="Hypertextovodkaz"/>
              </w:rPr>
              <w:t>10.</w:t>
            </w:r>
            <w:r w:rsidR="00DD7729">
              <w:rPr>
                <w:rStyle w:val="Hypertextovodkaz"/>
              </w:rPr>
              <w:t xml:space="preserve"> </w:t>
            </w:r>
            <w:r w:rsidR="00DD7729" w:rsidRPr="008978F3">
              <w:rPr>
                <w:rStyle w:val="Hypertextovodkaz"/>
              </w:rPr>
              <w:t>Prílohy</w:t>
            </w:r>
            <w:r w:rsidR="00DD7729">
              <w:rPr>
                <w:webHidden/>
              </w:rPr>
              <w:tab/>
            </w:r>
            <w:r w:rsidR="00DD7729">
              <w:rPr>
                <w:webHidden/>
              </w:rPr>
              <w:fldChar w:fldCharType="begin"/>
            </w:r>
            <w:r w:rsidR="00DD7729">
              <w:rPr>
                <w:webHidden/>
              </w:rPr>
              <w:instrText xml:space="preserve"> PAGEREF _Toc62576788 \h </w:instrText>
            </w:r>
            <w:r w:rsidR="00DD7729">
              <w:rPr>
                <w:webHidden/>
              </w:rPr>
            </w:r>
            <w:r w:rsidR="00DD7729">
              <w:rPr>
                <w:webHidden/>
              </w:rPr>
              <w:fldChar w:fldCharType="separate"/>
            </w:r>
            <w:r w:rsidR="00DD7729">
              <w:rPr>
                <w:webHidden/>
              </w:rPr>
              <w:t>30</w:t>
            </w:r>
            <w:r w:rsidR="00DD7729">
              <w:rPr>
                <w:webHidden/>
              </w:rPr>
              <w:fldChar w:fldCharType="end"/>
            </w:r>
          </w:hyperlink>
        </w:p>
        <w:p w14:paraId="493B2D52" w14:textId="5D8046D1" w:rsidR="004E1ED8" w:rsidRDefault="004E1ED8">
          <w:r>
            <w:rPr>
              <w:b/>
              <w:bCs/>
              <w:lang w:val="cs-CZ"/>
            </w:rPr>
            <w:fldChar w:fldCharType="end"/>
          </w:r>
        </w:p>
      </w:sdtContent>
    </w:sdt>
    <w:p w14:paraId="2B5A9277" w14:textId="4CB1AC08" w:rsidR="004E1ED8" w:rsidRDefault="004E1ED8" w:rsidP="004E1ED8">
      <w:pPr>
        <w:pStyle w:val="Odstavecseseznamem"/>
        <w:spacing w:before="120" w:after="120"/>
        <w:rPr>
          <w:b/>
          <w:bCs/>
        </w:rPr>
      </w:pPr>
    </w:p>
    <w:p w14:paraId="57218FB6" w14:textId="3D932D08" w:rsidR="004E1ED8" w:rsidRDefault="004E1ED8" w:rsidP="004E1ED8">
      <w:pPr>
        <w:pStyle w:val="Odstavecseseznamem"/>
        <w:spacing w:before="120" w:after="120"/>
        <w:rPr>
          <w:b/>
          <w:bCs/>
        </w:rPr>
      </w:pPr>
    </w:p>
    <w:p w14:paraId="523365AB" w14:textId="18D04231" w:rsidR="004E1ED8" w:rsidRDefault="004E1ED8" w:rsidP="004E1ED8">
      <w:pPr>
        <w:pStyle w:val="Odstavecseseznamem"/>
        <w:spacing w:before="120" w:after="120"/>
        <w:rPr>
          <w:b/>
          <w:bCs/>
        </w:rPr>
      </w:pPr>
    </w:p>
    <w:p w14:paraId="088808F4" w14:textId="65CC2020" w:rsidR="004E1ED8" w:rsidRDefault="004E1ED8" w:rsidP="004E1ED8">
      <w:pPr>
        <w:pStyle w:val="Odstavecseseznamem"/>
        <w:spacing w:before="120" w:after="120"/>
        <w:rPr>
          <w:b/>
          <w:bCs/>
        </w:rPr>
      </w:pPr>
    </w:p>
    <w:p w14:paraId="183F80BA" w14:textId="52AA39BF" w:rsidR="00243251" w:rsidRDefault="00243251" w:rsidP="004E1ED8">
      <w:pPr>
        <w:pStyle w:val="Nadpis1"/>
      </w:pPr>
      <w:bookmarkStart w:id="0" w:name="_Toc62576759"/>
      <w:r w:rsidRPr="006D7F18">
        <w:lastRenderedPageBreak/>
        <w:t>Zhrnutie</w:t>
      </w:r>
      <w:bookmarkEnd w:id="0"/>
    </w:p>
    <w:p w14:paraId="1D4FA837" w14:textId="6D7EDCEB" w:rsidR="00765A82" w:rsidRPr="00601946" w:rsidRDefault="00765A82" w:rsidP="00765A82">
      <w:pPr>
        <w:autoSpaceDE w:val="0"/>
        <w:autoSpaceDN w:val="0"/>
        <w:adjustRightInd w:val="0"/>
        <w:spacing w:line="276" w:lineRule="auto"/>
        <w:jc w:val="both"/>
        <w:rPr>
          <w:rFonts w:cstheme="minorHAnsi"/>
        </w:rPr>
      </w:pPr>
      <w:r w:rsidRPr="005D1FD2">
        <w:rPr>
          <w:rFonts w:cstheme="minorHAnsi"/>
        </w:rPr>
        <w:t>Spotreba energií v budovách tvorí významný podiel v rámci celkovej energetickej spotreby</w:t>
      </w:r>
      <w:r w:rsidR="009F1320">
        <w:rPr>
          <w:rFonts w:cstheme="minorHAnsi"/>
        </w:rPr>
        <w:t>,</w:t>
      </w:r>
      <w:r w:rsidRPr="005D1FD2">
        <w:rPr>
          <w:rFonts w:cstheme="minorHAnsi"/>
        </w:rPr>
        <w:t xml:space="preserve"> nie len Slovenskej republiky</w:t>
      </w:r>
      <w:r w:rsidR="003D2F50" w:rsidRPr="005D1FD2">
        <w:rPr>
          <w:rFonts w:cstheme="minorHAnsi"/>
        </w:rPr>
        <w:t>,</w:t>
      </w:r>
      <w:r w:rsidRPr="005D1FD2">
        <w:rPr>
          <w:rFonts w:cstheme="minorHAnsi"/>
        </w:rPr>
        <w:t xml:space="preserve"> ale celej Európskej únie.</w:t>
      </w:r>
      <w:r w:rsidR="006E02E8">
        <w:rPr>
          <w:rFonts w:cstheme="minorHAnsi"/>
        </w:rPr>
        <w:t xml:space="preserve"> </w:t>
      </w:r>
      <w:r w:rsidR="005D1FD2" w:rsidRPr="005D1FD2">
        <w:t xml:space="preserve">Z krátkodobého hľadiska do roku 2030 je podľa Nízkouhlíkovej stratégie Slovenska najdôležitejší zdroj možných úspor energie práve politika obnovy budov </w:t>
      </w:r>
      <w:r w:rsidRPr="008770E1">
        <w:rPr>
          <w:rFonts w:cstheme="minorHAnsi"/>
        </w:rPr>
        <w:t>[1].</w:t>
      </w:r>
      <w:r w:rsidRPr="005D1FD2">
        <w:rPr>
          <w:rFonts w:cstheme="minorHAnsi"/>
        </w:rPr>
        <w:t xml:space="preserve"> Podľa MDV </w:t>
      </w:r>
      <w:r w:rsidR="005D1FD2" w:rsidRPr="005D1FD2">
        <w:rPr>
          <w:rFonts w:cstheme="minorHAnsi"/>
        </w:rPr>
        <w:t>má</w:t>
      </w:r>
      <w:r w:rsidRPr="005D1FD2">
        <w:rPr>
          <w:rFonts w:cstheme="minorHAnsi"/>
        </w:rPr>
        <w:t xml:space="preserve"> </w:t>
      </w:r>
      <w:r w:rsidRPr="005D1FD2">
        <w:rPr>
          <w:rFonts w:cstheme="minorHAnsi"/>
          <w:lang w:eastAsia="sk-SK"/>
        </w:rPr>
        <w:t>obnova rodinných domov jeden z najväčších potenciálov úspor energie a</w:t>
      </w:r>
      <w:r w:rsidR="009F1320">
        <w:rPr>
          <w:rFonts w:cstheme="minorHAnsi"/>
          <w:lang w:eastAsia="sk-SK"/>
        </w:rPr>
        <w:t> </w:t>
      </w:r>
      <w:r w:rsidRPr="005D1FD2">
        <w:rPr>
          <w:rFonts w:cstheme="minorHAnsi"/>
          <w:lang w:eastAsia="sk-SK"/>
        </w:rPr>
        <w:t>zníženi</w:t>
      </w:r>
      <w:r w:rsidR="009F1320">
        <w:rPr>
          <w:rFonts w:cstheme="minorHAnsi"/>
          <w:lang w:eastAsia="sk-SK"/>
        </w:rPr>
        <w:t>a</w:t>
      </w:r>
      <w:r w:rsidRPr="005D1FD2">
        <w:rPr>
          <w:rFonts w:cstheme="minorHAnsi"/>
          <w:lang w:eastAsia="sk-SK"/>
        </w:rPr>
        <w:t xml:space="preserve"> emisií v budúcnosti na Slovensku </w:t>
      </w:r>
      <w:r w:rsidRPr="008770E1">
        <w:rPr>
          <w:rFonts w:cstheme="minorHAnsi"/>
          <w:lang w:eastAsia="sk-SK"/>
        </w:rPr>
        <w:t>[</w:t>
      </w:r>
      <w:r w:rsidR="008770E1" w:rsidRPr="008770E1">
        <w:rPr>
          <w:rFonts w:cstheme="minorHAnsi"/>
          <w:lang w:eastAsia="sk-SK"/>
        </w:rPr>
        <w:t>2</w:t>
      </w:r>
      <w:r w:rsidRPr="008770E1">
        <w:rPr>
          <w:rFonts w:cstheme="minorHAnsi"/>
          <w:lang w:eastAsia="sk-SK"/>
        </w:rPr>
        <w:t>].</w:t>
      </w:r>
      <w:r w:rsidRPr="005D1FD2">
        <w:rPr>
          <w:rFonts w:cstheme="minorHAnsi"/>
          <w:lang w:eastAsia="sk-SK"/>
        </w:rPr>
        <w:t xml:space="preserve"> </w:t>
      </w:r>
      <w:r w:rsidR="006E02E8">
        <w:rPr>
          <w:rFonts w:cstheme="minorHAnsi"/>
          <w:lang w:eastAsia="sk-SK"/>
        </w:rPr>
        <w:t xml:space="preserve"> Vysoký význam sektoru budov v klimatických politikách dáva aj Európska komisia, ktorej jednou z vlajkových lodí Európskej zelenej dohody je iniciatíva „Renovation Wave“</w:t>
      </w:r>
      <w:r w:rsidR="00207C11">
        <w:rPr>
          <w:rFonts w:cstheme="minorHAnsi"/>
          <w:lang w:eastAsia="sk-SK"/>
        </w:rPr>
        <w:t xml:space="preserve"> [3]</w:t>
      </w:r>
      <w:r w:rsidR="006E02E8">
        <w:rPr>
          <w:rFonts w:cstheme="minorHAnsi"/>
          <w:lang w:eastAsia="sk-SK"/>
        </w:rPr>
        <w:t xml:space="preserve">. </w:t>
      </w:r>
      <w:r w:rsidRPr="005D1FD2">
        <w:rPr>
          <w:rFonts w:cstheme="minorHAnsi"/>
          <w:lang w:eastAsia="sk-SK"/>
        </w:rPr>
        <w:t>Obnov</w:t>
      </w:r>
      <w:r w:rsidR="009F1320">
        <w:rPr>
          <w:rFonts w:cstheme="minorHAnsi"/>
          <w:lang w:eastAsia="sk-SK"/>
        </w:rPr>
        <w:t>u</w:t>
      </w:r>
      <w:r w:rsidRPr="005D1FD2">
        <w:rPr>
          <w:rFonts w:cstheme="minorHAnsi"/>
          <w:lang w:eastAsia="sk-SK"/>
        </w:rPr>
        <w:t xml:space="preserve"> </w:t>
      </w:r>
      <w:r w:rsidRPr="005D1FD2">
        <w:rPr>
          <w:rFonts w:cstheme="minorHAnsi"/>
        </w:rPr>
        <w:t xml:space="preserve">rodinných domov </w:t>
      </w:r>
      <w:r w:rsidR="006E02E8">
        <w:rPr>
          <w:rFonts w:cstheme="minorHAnsi"/>
        </w:rPr>
        <w:t xml:space="preserve">v SR </w:t>
      </w:r>
      <w:r w:rsidRPr="005D1FD2">
        <w:rPr>
          <w:rFonts w:cstheme="minorHAnsi"/>
        </w:rPr>
        <w:t xml:space="preserve">a s ňou spojené znižovanie emisií skleníkových plynov </w:t>
      </w:r>
      <w:r w:rsidR="005D1FD2" w:rsidRPr="005D1FD2">
        <w:rPr>
          <w:rFonts w:cstheme="minorHAnsi"/>
        </w:rPr>
        <w:t xml:space="preserve">možno považovať za </w:t>
      </w:r>
      <w:r w:rsidRPr="005D1FD2">
        <w:rPr>
          <w:rFonts w:cstheme="minorHAnsi"/>
        </w:rPr>
        <w:t>jedn</w:t>
      </w:r>
      <w:r w:rsidR="005D1FD2" w:rsidRPr="005D1FD2">
        <w:rPr>
          <w:rFonts w:cstheme="minorHAnsi"/>
        </w:rPr>
        <w:t>o</w:t>
      </w:r>
      <w:r w:rsidRPr="005D1FD2">
        <w:rPr>
          <w:rFonts w:cstheme="minorHAnsi"/>
        </w:rPr>
        <w:t xml:space="preserve"> z </w:t>
      </w:r>
      <w:r w:rsidR="006E02E8">
        <w:rPr>
          <w:rFonts w:cstheme="minorHAnsi"/>
        </w:rPr>
        <w:t>dôležitých</w:t>
      </w:r>
      <w:r w:rsidRPr="005D1FD2">
        <w:rPr>
          <w:rFonts w:cstheme="minorHAnsi"/>
        </w:rPr>
        <w:t xml:space="preserve"> nástrojov v riešení problému zmeny klímy </w:t>
      </w:r>
      <w:r w:rsidR="006E02E8">
        <w:rPr>
          <w:rFonts w:cstheme="minorHAnsi"/>
        </w:rPr>
        <w:t>s vysokým potenciálom v najbližších rokoch</w:t>
      </w:r>
      <w:r w:rsidRPr="005D1FD2">
        <w:rPr>
          <w:rFonts w:cstheme="minorHAnsi"/>
        </w:rPr>
        <w:t>.</w:t>
      </w:r>
      <w:r w:rsidRPr="00601946">
        <w:rPr>
          <w:rFonts w:cstheme="minorHAnsi"/>
        </w:rPr>
        <w:t xml:space="preserve"> </w:t>
      </w:r>
    </w:p>
    <w:p w14:paraId="56B9F071" w14:textId="706721CB" w:rsidR="00601946" w:rsidRDefault="00372017" w:rsidP="00601946">
      <w:pPr>
        <w:spacing w:before="60" w:after="60" w:line="276" w:lineRule="auto"/>
        <w:jc w:val="both"/>
      </w:pPr>
      <w:r w:rsidRPr="003D2F50">
        <w:t>Na Slovensku je postavených viac ako jeden milión rodinných domov</w:t>
      </w:r>
      <w:r w:rsidR="009F1320">
        <w:t>,</w:t>
      </w:r>
      <w:r w:rsidRPr="003D2F50">
        <w:t xml:space="preserve"> a viac ako polovica ľudí na Slovensku žije práve v nich. Tvoria teda dôležitú súčasť našej spoločnosti a</w:t>
      </w:r>
      <w:r w:rsidR="006E02E8">
        <w:t> </w:t>
      </w:r>
      <w:r w:rsidRPr="003D2F50">
        <w:t xml:space="preserve"> výrazne prispievajú ku kvalite života našich občanov. Prevažná časť z nich bola postavená pred 40-timi rokmi a obnovou (aspoň čiastočnou) prešla zatiaľ </w:t>
      </w:r>
      <w:r w:rsidR="00343374" w:rsidRPr="003D2F50">
        <w:t>približne</w:t>
      </w:r>
      <w:r w:rsidRPr="003D2F50">
        <w:t xml:space="preserve"> polovica. </w:t>
      </w:r>
      <w:r w:rsidR="00601946">
        <w:t>Podľa dostupných dát je možné predpokladať</w:t>
      </w:r>
      <w:r w:rsidR="009F1320">
        <w:t>,</w:t>
      </w:r>
      <w:r w:rsidR="00601946">
        <w:t xml:space="preserve"> že</w:t>
      </w:r>
      <w:r w:rsidR="009F1320">
        <w:t xml:space="preserve"> </w:t>
      </w:r>
      <w:r w:rsidR="00601946">
        <w:t>približne 390 000 rodinných domov neprešl</w:t>
      </w:r>
      <w:r w:rsidR="009F1320">
        <w:t>o</w:t>
      </w:r>
      <w:r w:rsidR="00601946">
        <w:t xml:space="preserve"> žiadnou obnovou a zároveň sú staršie ako 10 rokov. Záujem o obnovu zo strany vlastníkov je pritom pomerne veľký. Podľa  prieskumu agentúry Focus </w:t>
      </w:r>
      <w:r w:rsidR="00207C11">
        <w:t xml:space="preserve">z januára 2020 </w:t>
      </w:r>
      <w:r w:rsidR="00601946" w:rsidRPr="0035073A">
        <w:t>plánujú</w:t>
      </w:r>
      <w:r w:rsidR="00601946">
        <w:t xml:space="preserve"> š</w:t>
      </w:r>
      <w:r w:rsidR="00601946" w:rsidRPr="0035073A">
        <w:t xml:space="preserve">tyria z desiatich vlastníkov </w:t>
      </w:r>
      <w:r w:rsidR="00601946">
        <w:t>RD</w:t>
      </w:r>
      <w:r w:rsidR="00601946" w:rsidRPr="0035073A">
        <w:t xml:space="preserve"> staršieho ako 10 rokov </w:t>
      </w:r>
      <w:r w:rsidR="00601946">
        <w:t xml:space="preserve">vykonať na svojom dome </w:t>
      </w:r>
      <w:r w:rsidR="00601946" w:rsidRPr="0035073A">
        <w:t xml:space="preserve">nejaký typ </w:t>
      </w:r>
      <w:r w:rsidR="00601946">
        <w:t xml:space="preserve">obnovy </w:t>
      </w:r>
      <w:r w:rsidR="00601946" w:rsidRPr="0035073A">
        <w:t>v najbližších dvoch rokoch</w:t>
      </w:r>
      <w:r w:rsidR="00601946">
        <w:t>.</w:t>
      </w:r>
    </w:p>
    <w:p w14:paraId="4C5E93F7" w14:textId="0D95A400" w:rsidR="00601946" w:rsidRDefault="00601946" w:rsidP="003D2F50">
      <w:pPr>
        <w:spacing w:before="120" w:after="120" w:line="276" w:lineRule="auto"/>
        <w:jc w:val="both"/>
      </w:pPr>
      <w:r>
        <w:t xml:space="preserve">Cieľom štúdie bolo namodelovať </w:t>
      </w:r>
      <w:r w:rsidR="005C2C3D">
        <w:t>dva</w:t>
      </w:r>
      <w:r>
        <w:t xml:space="preserve"> scenáre podpory obnovy rodinných domov. Východ</w:t>
      </w:r>
      <w:r w:rsidR="009B22C3">
        <w:t>iskovým</w:t>
      </w:r>
      <w:r>
        <w:t xml:space="preserve"> </w:t>
      </w:r>
      <w:r w:rsidR="00DB037A">
        <w:t xml:space="preserve">údajom je investičná </w:t>
      </w:r>
      <w:r w:rsidR="006979E8">
        <w:t xml:space="preserve">verejná </w:t>
      </w:r>
      <w:r w:rsidR="00DB037A">
        <w:t>podpora v sume 100 miliónov eur. Výstupom výpočtového modelu je celkový počet podporených (obnovených) rodinných domov, celková úspora energie, celkové zníženie emisií CO</w:t>
      </w:r>
      <w:r w:rsidR="00DB037A">
        <w:rPr>
          <w:vertAlign w:val="subscript"/>
        </w:rPr>
        <w:t>2</w:t>
      </w:r>
      <w:r w:rsidR="00DB037A">
        <w:t xml:space="preserve"> a vplyv investícií na vybrané makroekonomické ukazovatele. Výpočtový model pozostáva z troch referenčných rodinných domov v troch rôznych veľkostiach v neobnovenom stave. Vo výpočtoch boli namodelované tri </w:t>
      </w:r>
      <w:r w:rsidR="003D2F50">
        <w:t xml:space="preserve">energetické </w:t>
      </w:r>
      <w:r w:rsidR="00DB037A">
        <w:t>úrovne obnovy</w:t>
      </w:r>
      <w:r w:rsidR="003D2F50">
        <w:t xml:space="preserve"> (viď. kapitola 4)</w:t>
      </w:r>
      <w:r w:rsidR="00DB037A">
        <w:t xml:space="preserve">. Každý jeden scenár pozostáva z kombinácie 27 </w:t>
      </w:r>
      <w:r w:rsidR="003D2F50">
        <w:t>variantov obnov</w:t>
      </w:r>
      <w:r w:rsidR="009F1320">
        <w:t>y</w:t>
      </w:r>
      <w:r w:rsidR="003D2F50">
        <w:t xml:space="preserve"> (viď. kapitola 6)</w:t>
      </w:r>
      <w:r w:rsidR="00DB037A">
        <w:t>.</w:t>
      </w:r>
      <w:r w:rsidR="003D2F50">
        <w:t xml:space="preserve"> </w:t>
      </w:r>
      <w:r w:rsidR="00DB037A">
        <w:t xml:space="preserve">Jednotlivé scenáre sa líšia v podiele jednotlivých </w:t>
      </w:r>
      <w:r w:rsidR="003D2F50">
        <w:t xml:space="preserve">variantov </w:t>
      </w:r>
      <w:r w:rsidR="00DB037A">
        <w:t xml:space="preserve">obnov, pričom základný scenár reprezentuje konzervatívnejší podiel </w:t>
      </w:r>
      <w:r w:rsidR="003D2F50">
        <w:t>variantov obnov</w:t>
      </w:r>
      <w:r w:rsidR="009F1320">
        <w:t>y</w:t>
      </w:r>
      <w:r w:rsidR="003D2F50">
        <w:t xml:space="preserve"> a</w:t>
      </w:r>
      <w:r w:rsidR="005C2C3D">
        <w:t xml:space="preserve"> ambiciózny </w:t>
      </w:r>
      <w:r w:rsidR="003D2F50">
        <w:t xml:space="preserve">scenár pozostáva </w:t>
      </w:r>
      <w:r w:rsidR="009F1320">
        <w:t>z</w:t>
      </w:r>
      <w:r w:rsidR="003D2F50">
        <w:t> väčšieho podielu obnov</w:t>
      </w:r>
      <w:r w:rsidR="009F1320">
        <w:t>y</w:t>
      </w:r>
      <w:r w:rsidR="003D2F50">
        <w:t xml:space="preserve"> v</w:t>
      </w:r>
      <w:r w:rsidR="005C2C3D">
        <w:t xml:space="preserve">o </w:t>
      </w:r>
      <w:r w:rsidR="003D2F50">
        <w:t xml:space="preserve">vyššej energetickej úrovni. </w:t>
      </w:r>
    </w:p>
    <w:p w14:paraId="4085EEF0" w14:textId="6D2C333E" w:rsidR="009D46B3" w:rsidRDefault="009D46B3" w:rsidP="003D2F50">
      <w:pPr>
        <w:spacing w:before="120" w:after="120" w:line="276" w:lineRule="auto"/>
        <w:jc w:val="both"/>
      </w:pPr>
    </w:p>
    <w:p w14:paraId="53B6CB5B" w14:textId="26A44963" w:rsidR="009D46B3" w:rsidRDefault="009D46B3" w:rsidP="003D2F50">
      <w:pPr>
        <w:spacing w:before="120" w:after="120" w:line="276" w:lineRule="auto"/>
        <w:jc w:val="both"/>
      </w:pPr>
    </w:p>
    <w:p w14:paraId="07A020F4" w14:textId="251CD6C8" w:rsidR="009D46B3" w:rsidRDefault="009D46B3" w:rsidP="003D2F50">
      <w:pPr>
        <w:spacing w:before="120" w:after="120" w:line="276" w:lineRule="auto"/>
        <w:jc w:val="both"/>
      </w:pPr>
    </w:p>
    <w:p w14:paraId="5E687B97" w14:textId="695A2DE3" w:rsidR="009D46B3" w:rsidRDefault="009D46B3" w:rsidP="003D2F50">
      <w:pPr>
        <w:spacing w:before="120" w:after="120" w:line="276" w:lineRule="auto"/>
        <w:jc w:val="both"/>
      </w:pPr>
    </w:p>
    <w:p w14:paraId="439F5C18" w14:textId="539CDD82" w:rsidR="009D46B3" w:rsidRDefault="009D46B3" w:rsidP="003D2F50">
      <w:pPr>
        <w:spacing w:before="120" w:after="120" w:line="276" w:lineRule="auto"/>
        <w:jc w:val="both"/>
      </w:pPr>
    </w:p>
    <w:p w14:paraId="43EAA76F" w14:textId="1C2613AF" w:rsidR="009D46B3" w:rsidRDefault="009D46B3" w:rsidP="003D2F50">
      <w:pPr>
        <w:spacing w:before="120" w:after="120" w:line="276" w:lineRule="auto"/>
        <w:jc w:val="both"/>
      </w:pPr>
    </w:p>
    <w:p w14:paraId="7BCDE98D" w14:textId="2585C348" w:rsidR="009D46B3" w:rsidRDefault="009D46B3" w:rsidP="003D2F50">
      <w:pPr>
        <w:spacing w:before="120" w:after="120" w:line="276" w:lineRule="auto"/>
        <w:jc w:val="both"/>
      </w:pPr>
    </w:p>
    <w:p w14:paraId="17A15AC7" w14:textId="242451EC" w:rsidR="009D46B3" w:rsidRDefault="009D46B3" w:rsidP="003D2F50">
      <w:pPr>
        <w:spacing w:before="120" w:after="120" w:line="276" w:lineRule="auto"/>
        <w:jc w:val="both"/>
      </w:pPr>
    </w:p>
    <w:p w14:paraId="2067851B" w14:textId="3E6A2364" w:rsidR="009D46B3" w:rsidRDefault="009D46B3" w:rsidP="003D2F50">
      <w:pPr>
        <w:spacing w:before="120" w:after="120" w:line="276" w:lineRule="auto"/>
        <w:jc w:val="both"/>
      </w:pPr>
    </w:p>
    <w:p w14:paraId="08DC9138" w14:textId="40C14980" w:rsidR="009D46B3" w:rsidRDefault="009D46B3" w:rsidP="003D2F50">
      <w:pPr>
        <w:spacing w:before="120" w:after="120" w:line="276" w:lineRule="auto"/>
        <w:jc w:val="both"/>
      </w:pPr>
    </w:p>
    <w:p w14:paraId="522D8180" w14:textId="77777777" w:rsidR="005C2C3D" w:rsidRDefault="005C2C3D" w:rsidP="003D2F50">
      <w:pPr>
        <w:spacing w:before="120" w:after="120" w:line="276" w:lineRule="auto"/>
        <w:jc w:val="both"/>
      </w:pPr>
    </w:p>
    <w:p w14:paraId="0C2778BC" w14:textId="0E609C74" w:rsidR="009D46B3" w:rsidRDefault="009D46B3" w:rsidP="003D2F50">
      <w:pPr>
        <w:spacing w:before="120" w:after="120" w:line="276" w:lineRule="auto"/>
        <w:jc w:val="both"/>
      </w:pPr>
    </w:p>
    <w:p w14:paraId="6CCC40DA" w14:textId="77777777" w:rsidR="009D46B3" w:rsidRPr="00207C11" w:rsidRDefault="009D46B3" w:rsidP="009D46B3">
      <w:pPr>
        <w:rPr>
          <w:i/>
          <w:iCs/>
        </w:rPr>
      </w:pPr>
      <w:r w:rsidRPr="00207C11">
        <w:rPr>
          <w:i/>
          <w:iCs/>
        </w:rPr>
        <w:lastRenderedPageBreak/>
        <w:t>Tab. 1: Vyhodnotenie posudzovaných scenárov vztiahnutých na 100 mil. eur podpory</w:t>
      </w:r>
    </w:p>
    <w:tbl>
      <w:tblPr>
        <w:tblW w:w="9057" w:type="dxa"/>
        <w:tblCellMar>
          <w:left w:w="70" w:type="dxa"/>
          <w:right w:w="70" w:type="dxa"/>
        </w:tblCellMar>
        <w:tblLook w:val="04A0" w:firstRow="1" w:lastRow="0" w:firstColumn="1" w:lastColumn="0" w:noHBand="0" w:noVBand="1"/>
      </w:tblPr>
      <w:tblGrid>
        <w:gridCol w:w="2520"/>
        <w:gridCol w:w="3419"/>
        <w:gridCol w:w="3118"/>
      </w:tblGrid>
      <w:tr w:rsidR="005C2C3D" w:rsidRPr="00E21483" w14:paraId="1DAC0EB4" w14:textId="77777777" w:rsidTr="005C2C3D">
        <w:trPr>
          <w:trHeight w:val="340"/>
        </w:trPr>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B2D1E5C"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 </w:t>
            </w:r>
          </w:p>
        </w:tc>
        <w:tc>
          <w:tcPr>
            <w:tcW w:w="3419" w:type="dxa"/>
            <w:tcBorders>
              <w:top w:val="single" w:sz="12" w:space="0" w:color="auto"/>
              <w:left w:val="single" w:sz="12" w:space="0" w:color="auto"/>
              <w:bottom w:val="single" w:sz="12" w:space="0" w:color="auto"/>
              <w:right w:val="single" w:sz="12" w:space="0" w:color="auto"/>
            </w:tcBorders>
            <w:shd w:val="clear" w:color="auto" w:fill="E2EFD9" w:themeFill="accent6" w:themeFillTint="33"/>
            <w:noWrap/>
            <w:vAlign w:val="center"/>
            <w:hideMark/>
          </w:tcPr>
          <w:p w14:paraId="6CF2A5BB" w14:textId="77777777" w:rsidR="005C2C3D" w:rsidRPr="00E21483"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Základný scenár</w:t>
            </w:r>
          </w:p>
        </w:tc>
        <w:tc>
          <w:tcPr>
            <w:tcW w:w="3118" w:type="dxa"/>
            <w:tcBorders>
              <w:top w:val="single" w:sz="12" w:space="0" w:color="auto"/>
              <w:left w:val="single" w:sz="12" w:space="0" w:color="auto"/>
              <w:bottom w:val="single" w:sz="12" w:space="0" w:color="auto"/>
              <w:right w:val="single" w:sz="12" w:space="0" w:color="auto"/>
            </w:tcBorders>
            <w:shd w:val="clear" w:color="auto" w:fill="C5E0B3" w:themeFill="accent6" w:themeFillTint="66"/>
            <w:noWrap/>
            <w:vAlign w:val="center"/>
            <w:hideMark/>
          </w:tcPr>
          <w:p w14:paraId="33CCEFDE" w14:textId="77777777" w:rsidR="005C2C3D" w:rsidRPr="00E21483"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Ambiciózny scenár</w:t>
            </w:r>
          </w:p>
        </w:tc>
      </w:tr>
      <w:tr w:rsidR="005C2C3D" w:rsidRPr="00E21483" w14:paraId="0BBD3B0C" w14:textId="77777777" w:rsidTr="005C2C3D">
        <w:trPr>
          <w:trHeight w:val="340"/>
        </w:trPr>
        <w:tc>
          <w:tcPr>
            <w:tcW w:w="252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6CBCD765"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Celkové náklady</w:t>
            </w:r>
          </w:p>
        </w:tc>
        <w:tc>
          <w:tcPr>
            <w:tcW w:w="3419" w:type="dxa"/>
            <w:tcBorders>
              <w:top w:val="single" w:sz="12" w:space="0" w:color="auto"/>
              <w:left w:val="single" w:sz="12" w:space="0" w:color="auto"/>
              <w:bottom w:val="single" w:sz="4" w:space="0" w:color="auto"/>
              <w:right w:val="single" w:sz="12" w:space="0" w:color="auto"/>
            </w:tcBorders>
            <w:shd w:val="clear" w:color="auto" w:fill="E2EFD9" w:themeFill="accent6" w:themeFillTint="33"/>
            <w:noWrap/>
            <w:vAlign w:val="center"/>
            <w:hideMark/>
          </w:tcPr>
          <w:p w14:paraId="23A02CE3"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227 415 382</w:t>
            </w:r>
            <w:r w:rsidRPr="0018553F">
              <w:rPr>
                <w:rFonts w:ascii="Calibri" w:hAnsi="Calibri" w:cs="Calibri"/>
                <w:color w:val="000000"/>
                <w:sz w:val="20"/>
                <w:szCs w:val="20"/>
              </w:rPr>
              <w:t xml:space="preserve"> €</w:t>
            </w:r>
          </w:p>
        </w:tc>
        <w:tc>
          <w:tcPr>
            <w:tcW w:w="3118" w:type="dxa"/>
            <w:tcBorders>
              <w:top w:val="single" w:sz="12" w:space="0" w:color="auto"/>
              <w:left w:val="single" w:sz="12" w:space="0" w:color="auto"/>
              <w:bottom w:val="single" w:sz="4" w:space="0" w:color="auto"/>
              <w:right w:val="single" w:sz="12" w:space="0" w:color="auto"/>
            </w:tcBorders>
            <w:shd w:val="clear" w:color="auto" w:fill="C5E0B3" w:themeFill="accent6" w:themeFillTint="66"/>
            <w:noWrap/>
            <w:vAlign w:val="center"/>
            <w:hideMark/>
          </w:tcPr>
          <w:p w14:paraId="52E6C938"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220 454 395</w:t>
            </w:r>
            <w:r w:rsidRPr="0018553F">
              <w:rPr>
                <w:rFonts w:ascii="Calibri" w:hAnsi="Calibri" w:cs="Calibri"/>
                <w:color w:val="000000"/>
                <w:sz w:val="20"/>
                <w:szCs w:val="20"/>
              </w:rPr>
              <w:t xml:space="preserve"> €</w:t>
            </w:r>
          </w:p>
        </w:tc>
      </w:tr>
      <w:tr w:rsidR="005C2C3D" w:rsidRPr="00E21483" w14:paraId="35E8FCB5" w14:textId="77777777" w:rsidTr="005C2C3D">
        <w:trPr>
          <w:trHeight w:val="340"/>
        </w:trPr>
        <w:tc>
          <w:tcPr>
            <w:tcW w:w="2520" w:type="dxa"/>
            <w:tcBorders>
              <w:top w:val="nil"/>
              <w:left w:val="single" w:sz="12" w:space="0" w:color="auto"/>
              <w:bottom w:val="single" w:sz="4" w:space="0" w:color="auto"/>
              <w:right w:val="single" w:sz="12" w:space="0" w:color="auto"/>
            </w:tcBorders>
            <w:shd w:val="clear" w:color="auto" w:fill="auto"/>
            <w:noWrap/>
            <w:vAlign w:val="bottom"/>
            <w:hideMark/>
          </w:tcPr>
          <w:p w14:paraId="758F00F7"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Verejná</w:t>
            </w:r>
            <w:r w:rsidRPr="00E21483">
              <w:rPr>
                <w:rFonts w:ascii="Calibri" w:eastAsia="Times New Roman" w:hAnsi="Calibri" w:cs="Calibri"/>
                <w:color w:val="000000"/>
                <w:sz w:val="20"/>
                <w:szCs w:val="20"/>
                <w:lang w:eastAsia="sk-SK"/>
              </w:rPr>
              <w:t xml:space="preserve"> podpora (40 %)</w:t>
            </w:r>
          </w:p>
        </w:tc>
        <w:tc>
          <w:tcPr>
            <w:tcW w:w="3419" w:type="dxa"/>
            <w:tcBorders>
              <w:top w:val="nil"/>
              <w:left w:val="single" w:sz="12" w:space="0" w:color="auto"/>
              <w:bottom w:val="single" w:sz="4" w:space="0" w:color="auto"/>
              <w:right w:val="single" w:sz="12" w:space="0" w:color="auto"/>
            </w:tcBorders>
            <w:shd w:val="clear" w:color="auto" w:fill="E2EFD9" w:themeFill="accent6" w:themeFillTint="33"/>
            <w:noWrap/>
            <w:vAlign w:val="center"/>
            <w:hideMark/>
          </w:tcPr>
          <w:p w14:paraId="0A24FA1F"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sidRPr="0018553F">
              <w:rPr>
                <w:rFonts w:ascii="Calibri" w:hAnsi="Calibri" w:cs="Calibri"/>
                <w:color w:val="000000"/>
                <w:sz w:val="20"/>
                <w:szCs w:val="20"/>
              </w:rPr>
              <w:t>100</w:t>
            </w:r>
            <w:r>
              <w:rPr>
                <w:rFonts w:ascii="Calibri" w:hAnsi="Calibri" w:cs="Calibri"/>
                <w:color w:val="000000"/>
                <w:sz w:val="20"/>
                <w:szCs w:val="20"/>
              </w:rPr>
              <w:t> 002 957</w:t>
            </w:r>
            <w:r w:rsidRPr="0018553F">
              <w:rPr>
                <w:rFonts w:ascii="Calibri" w:hAnsi="Calibri" w:cs="Calibri"/>
                <w:color w:val="000000"/>
                <w:sz w:val="20"/>
                <w:szCs w:val="20"/>
              </w:rPr>
              <w:t xml:space="preserve"> €</w:t>
            </w:r>
          </w:p>
        </w:tc>
        <w:tc>
          <w:tcPr>
            <w:tcW w:w="3118" w:type="dxa"/>
            <w:tcBorders>
              <w:top w:val="nil"/>
              <w:left w:val="single" w:sz="12" w:space="0" w:color="auto"/>
              <w:bottom w:val="single" w:sz="4" w:space="0" w:color="auto"/>
              <w:right w:val="single" w:sz="12" w:space="0" w:color="auto"/>
            </w:tcBorders>
            <w:shd w:val="clear" w:color="auto" w:fill="C5E0B3" w:themeFill="accent6" w:themeFillTint="66"/>
            <w:noWrap/>
            <w:vAlign w:val="center"/>
            <w:hideMark/>
          </w:tcPr>
          <w:p w14:paraId="479C2A70"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100 002 959</w:t>
            </w:r>
            <w:r w:rsidRPr="0018553F">
              <w:rPr>
                <w:rFonts w:ascii="Calibri" w:hAnsi="Calibri" w:cs="Calibri"/>
                <w:color w:val="000000"/>
                <w:sz w:val="20"/>
                <w:szCs w:val="20"/>
              </w:rPr>
              <w:t xml:space="preserve"> €</w:t>
            </w:r>
          </w:p>
        </w:tc>
      </w:tr>
      <w:tr w:rsidR="005C2C3D" w:rsidRPr="00E21483" w14:paraId="62314E37" w14:textId="77777777" w:rsidTr="005C2C3D">
        <w:trPr>
          <w:trHeight w:val="340"/>
        </w:trPr>
        <w:tc>
          <w:tcPr>
            <w:tcW w:w="2520" w:type="dxa"/>
            <w:tcBorders>
              <w:top w:val="nil"/>
              <w:left w:val="single" w:sz="12" w:space="0" w:color="auto"/>
              <w:bottom w:val="single" w:sz="12" w:space="0" w:color="auto"/>
              <w:right w:val="single" w:sz="12" w:space="0" w:color="auto"/>
            </w:tcBorders>
            <w:shd w:val="clear" w:color="auto" w:fill="auto"/>
            <w:noWrap/>
            <w:vAlign w:val="bottom"/>
            <w:hideMark/>
          </w:tcPr>
          <w:p w14:paraId="4633787B"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Počet obnovených RD</w:t>
            </w:r>
          </w:p>
        </w:tc>
        <w:tc>
          <w:tcPr>
            <w:tcW w:w="3419" w:type="dxa"/>
            <w:tcBorders>
              <w:top w:val="nil"/>
              <w:left w:val="single" w:sz="12" w:space="0" w:color="auto"/>
              <w:bottom w:val="single" w:sz="12" w:space="0" w:color="auto"/>
              <w:right w:val="single" w:sz="12" w:space="0" w:color="auto"/>
            </w:tcBorders>
            <w:shd w:val="clear" w:color="auto" w:fill="E2EFD9" w:themeFill="accent6" w:themeFillTint="33"/>
            <w:noWrap/>
            <w:vAlign w:val="center"/>
            <w:hideMark/>
          </w:tcPr>
          <w:p w14:paraId="3FA1E086"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9357</w:t>
            </w:r>
          </w:p>
        </w:tc>
        <w:tc>
          <w:tcPr>
            <w:tcW w:w="3118" w:type="dxa"/>
            <w:tcBorders>
              <w:top w:val="nil"/>
              <w:left w:val="single" w:sz="12" w:space="0" w:color="auto"/>
              <w:bottom w:val="single" w:sz="12" w:space="0" w:color="auto"/>
              <w:right w:val="single" w:sz="12" w:space="0" w:color="auto"/>
            </w:tcBorders>
            <w:shd w:val="clear" w:color="auto" w:fill="C5E0B3" w:themeFill="accent6" w:themeFillTint="66"/>
            <w:noWrap/>
            <w:vAlign w:val="center"/>
            <w:hideMark/>
          </w:tcPr>
          <w:p w14:paraId="402F465A"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8809</w:t>
            </w:r>
          </w:p>
        </w:tc>
      </w:tr>
      <w:tr w:rsidR="005C2C3D" w:rsidRPr="00E21483" w14:paraId="50E008B2" w14:textId="77777777" w:rsidTr="005C2C3D">
        <w:trPr>
          <w:trHeight w:val="340"/>
        </w:trPr>
        <w:tc>
          <w:tcPr>
            <w:tcW w:w="2520" w:type="dxa"/>
            <w:vMerge w:val="restart"/>
            <w:tcBorders>
              <w:top w:val="single" w:sz="12" w:space="0" w:color="auto"/>
              <w:left w:val="single" w:sz="12" w:space="0" w:color="auto"/>
              <w:right w:val="single" w:sz="12" w:space="0" w:color="auto"/>
            </w:tcBorders>
            <w:shd w:val="clear" w:color="auto" w:fill="auto"/>
            <w:noWrap/>
            <w:vAlign w:val="center"/>
            <w:hideMark/>
          </w:tcPr>
          <w:p w14:paraId="18928619"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Úspora</w:t>
            </w:r>
            <w:r w:rsidRPr="00E21483">
              <w:rPr>
                <w:rFonts w:ascii="Calibri" w:eastAsia="Times New Roman" w:hAnsi="Calibri" w:cs="Calibri"/>
                <w:color w:val="000000"/>
                <w:sz w:val="20"/>
                <w:szCs w:val="20"/>
                <w:lang w:eastAsia="sk-SK"/>
              </w:rPr>
              <w:t xml:space="preserve"> energia </w:t>
            </w:r>
            <w:r>
              <w:rPr>
                <w:rFonts w:ascii="Calibri" w:eastAsia="Times New Roman" w:hAnsi="Calibri" w:cs="Calibri"/>
                <w:color w:val="000000"/>
                <w:sz w:val="20"/>
                <w:szCs w:val="20"/>
                <w:lang w:eastAsia="sk-SK"/>
              </w:rPr>
              <w:t xml:space="preserve">(ročne) </w:t>
            </w:r>
          </w:p>
        </w:tc>
        <w:tc>
          <w:tcPr>
            <w:tcW w:w="3419" w:type="dxa"/>
            <w:tcBorders>
              <w:top w:val="single" w:sz="12" w:space="0" w:color="auto"/>
              <w:left w:val="single" w:sz="12" w:space="0" w:color="auto"/>
              <w:bottom w:val="single" w:sz="4" w:space="0" w:color="auto"/>
              <w:right w:val="single" w:sz="12" w:space="0" w:color="auto"/>
            </w:tcBorders>
            <w:shd w:val="clear" w:color="auto" w:fill="E2EFD9" w:themeFill="accent6" w:themeFillTint="33"/>
            <w:noWrap/>
            <w:vAlign w:val="center"/>
            <w:hideMark/>
          </w:tcPr>
          <w:p w14:paraId="482F390F"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416 266 206</w:t>
            </w:r>
            <w:r w:rsidRPr="0018553F">
              <w:rPr>
                <w:rFonts w:ascii="Calibri" w:hAnsi="Calibri" w:cs="Calibri"/>
                <w:color w:val="000000"/>
                <w:sz w:val="20"/>
                <w:szCs w:val="20"/>
              </w:rPr>
              <w:t xml:space="preserve"> kWh</w:t>
            </w:r>
          </w:p>
        </w:tc>
        <w:tc>
          <w:tcPr>
            <w:tcW w:w="3118" w:type="dxa"/>
            <w:tcBorders>
              <w:top w:val="single" w:sz="12" w:space="0" w:color="auto"/>
              <w:left w:val="single" w:sz="12" w:space="0" w:color="auto"/>
              <w:bottom w:val="single" w:sz="4" w:space="0" w:color="auto"/>
              <w:right w:val="single" w:sz="12" w:space="0" w:color="auto"/>
            </w:tcBorders>
            <w:shd w:val="clear" w:color="auto" w:fill="C5E0B3" w:themeFill="accent6" w:themeFillTint="66"/>
            <w:noWrap/>
            <w:vAlign w:val="center"/>
            <w:hideMark/>
          </w:tcPr>
          <w:p w14:paraId="56ACD555"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418 270 046</w:t>
            </w:r>
            <w:r w:rsidRPr="0018553F">
              <w:rPr>
                <w:rFonts w:ascii="Calibri" w:hAnsi="Calibri" w:cs="Calibri"/>
                <w:color w:val="000000"/>
                <w:sz w:val="20"/>
                <w:szCs w:val="20"/>
              </w:rPr>
              <w:t xml:space="preserve"> kWh</w:t>
            </w:r>
          </w:p>
        </w:tc>
      </w:tr>
      <w:tr w:rsidR="005C2C3D" w:rsidRPr="00E21483" w14:paraId="58876E3F" w14:textId="77777777" w:rsidTr="005C2C3D">
        <w:trPr>
          <w:trHeight w:val="340"/>
        </w:trPr>
        <w:tc>
          <w:tcPr>
            <w:tcW w:w="2520" w:type="dxa"/>
            <w:vMerge/>
            <w:tcBorders>
              <w:left w:val="single" w:sz="12" w:space="0" w:color="auto"/>
              <w:bottom w:val="single" w:sz="12" w:space="0" w:color="auto"/>
              <w:right w:val="single" w:sz="12" w:space="0" w:color="auto"/>
            </w:tcBorders>
            <w:shd w:val="clear" w:color="auto" w:fill="auto"/>
            <w:noWrap/>
            <w:vAlign w:val="center"/>
            <w:hideMark/>
          </w:tcPr>
          <w:p w14:paraId="3DBA861B"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p>
        </w:tc>
        <w:tc>
          <w:tcPr>
            <w:tcW w:w="3419" w:type="dxa"/>
            <w:tcBorders>
              <w:top w:val="nil"/>
              <w:left w:val="single" w:sz="12" w:space="0" w:color="auto"/>
              <w:bottom w:val="single" w:sz="12" w:space="0" w:color="auto"/>
              <w:right w:val="single" w:sz="12" w:space="0" w:color="auto"/>
            </w:tcBorders>
            <w:shd w:val="clear" w:color="auto" w:fill="E2EFD9" w:themeFill="accent6" w:themeFillTint="33"/>
            <w:noWrap/>
            <w:vAlign w:val="center"/>
            <w:hideMark/>
          </w:tcPr>
          <w:p w14:paraId="37B793CC"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sidRPr="0018553F">
              <w:rPr>
                <w:rFonts w:ascii="Calibri" w:hAnsi="Calibri" w:cs="Calibri"/>
                <w:color w:val="000000"/>
                <w:sz w:val="20"/>
                <w:szCs w:val="20"/>
              </w:rPr>
              <w:t>4</w:t>
            </w:r>
            <w:r>
              <w:rPr>
                <w:rFonts w:ascii="Calibri" w:hAnsi="Calibri" w:cs="Calibri"/>
                <w:color w:val="000000"/>
                <w:sz w:val="20"/>
                <w:szCs w:val="20"/>
              </w:rPr>
              <w:t xml:space="preserve">16,27 </w:t>
            </w:r>
            <w:r w:rsidRPr="0018553F">
              <w:rPr>
                <w:rFonts w:ascii="Calibri" w:hAnsi="Calibri" w:cs="Calibri"/>
                <w:color w:val="000000"/>
                <w:sz w:val="20"/>
                <w:szCs w:val="20"/>
              </w:rPr>
              <w:t>GWh</w:t>
            </w:r>
          </w:p>
        </w:tc>
        <w:tc>
          <w:tcPr>
            <w:tcW w:w="3118" w:type="dxa"/>
            <w:tcBorders>
              <w:top w:val="nil"/>
              <w:left w:val="single" w:sz="12" w:space="0" w:color="auto"/>
              <w:bottom w:val="single" w:sz="12" w:space="0" w:color="auto"/>
              <w:right w:val="single" w:sz="12" w:space="0" w:color="auto"/>
            </w:tcBorders>
            <w:shd w:val="clear" w:color="auto" w:fill="C5E0B3" w:themeFill="accent6" w:themeFillTint="66"/>
            <w:noWrap/>
            <w:vAlign w:val="center"/>
            <w:hideMark/>
          </w:tcPr>
          <w:p w14:paraId="18ADD8B8"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418,27</w:t>
            </w:r>
            <w:r w:rsidRPr="0018553F">
              <w:rPr>
                <w:rFonts w:ascii="Calibri" w:hAnsi="Calibri" w:cs="Calibri"/>
                <w:color w:val="000000"/>
                <w:sz w:val="20"/>
                <w:szCs w:val="20"/>
              </w:rPr>
              <w:t xml:space="preserve"> GWh</w:t>
            </w:r>
          </w:p>
        </w:tc>
      </w:tr>
      <w:tr w:rsidR="005C2C3D" w:rsidRPr="00E21483" w14:paraId="7C827B6A" w14:textId="77777777" w:rsidTr="005C2C3D">
        <w:trPr>
          <w:trHeight w:val="340"/>
        </w:trPr>
        <w:tc>
          <w:tcPr>
            <w:tcW w:w="2520"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E9D51F5"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Zníženie</w:t>
            </w:r>
            <w:r w:rsidRPr="00E21483">
              <w:rPr>
                <w:rFonts w:ascii="Calibri" w:eastAsia="Times New Roman" w:hAnsi="Calibri" w:cs="Calibri"/>
                <w:color w:val="000000"/>
                <w:sz w:val="20"/>
                <w:szCs w:val="20"/>
                <w:lang w:eastAsia="sk-SK"/>
              </w:rPr>
              <w:t xml:space="preserve"> emis</w:t>
            </w:r>
            <w:r>
              <w:rPr>
                <w:rFonts w:ascii="Calibri" w:eastAsia="Times New Roman" w:hAnsi="Calibri" w:cs="Calibri"/>
                <w:color w:val="000000"/>
                <w:sz w:val="20"/>
                <w:szCs w:val="20"/>
                <w:lang w:eastAsia="sk-SK"/>
              </w:rPr>
              <w:t>ií</w:t>
            </w:r>
            <w:r w:rsidRPr="00E21483">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CO</w:t>
            </w:r>
            <w:r>
              <w:rPr>
                <w:rFonts w:ascii="Calibri" w:eastAsia="Times New Roman" w:hAnsi="Calibri" w:cs="Calibri"/>
                <w:color w:val="000000"/>
                <w:sz w:val="20"/>
                <w:szCs w:val="20"/>
                <w:vertAlign w:val="subscript"/>
                <w:lang w:eastAsia="sk-SK"/>
              </w:rPr>
              <w:t>2</w:t>
            </w:r>
            <w:r>
              <w:rPr>
                <w:rFonts w:ascii="Calibri" w:eastAsia="Times New Roman" w:hAnsi="Calibri" w:cs="Calibri"/>
                <w:color w:val="000000"/>
                <w:sz w:val="20"/>
                <w:szCs w:val="20"/>
                <w:lang w:eastAsia="sk-SK"/>
              </w:rPr>
              <w:t xml:space="preserve"> (ročne)</w:t>
            </w:r>
          </w:p>
        </w:tc>
        <w:tc>
          <w:tcPr>
            <w:tcW w:w="3419" w:type="dxa"/>
            <w:tcBorders>
              <w:top w:val="single" w:sz="12" w:space="0" w:color="auto"/>
              <w:left w:val="single" w:sz="12" w:space="0" w:color="auto"/>
              <w:bottom w:val="single" w:sz="4" w:space="0" w:color="auto"/>
              <w:right w:val="single" w:sz="12" w:space="0" w:color="auto"/>
            </w:tcBorders>
            <w:shd w:val="clear" w:color="auto" w:fill="E2EFD9" w:themeFill="accent6" w:themeFillTint="33"/>
            <w:noWrap/>
            <w:vAlign w:val="center"/>
          </w:tcPr>
          <w:p w14:paraId="545E137F"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60 632 051</w:t>
            </w:r>
            <w:r w:rsidRPr="0018553F">
              <w:rPr>
                <w:rFonts w:ascii="Calibri" w:hAnsi="Calibri" w:cs="Calibri"/>
                <w:color w:val="000000"/>
                <w:sz w:val="20"/>
                <w:szCs w:val="20"/>
              </w:rPr>
              <w:t xml:space="preserve"> kg</w:t>
            </w:r>
          </w:p>
        </w:tc>
        <w:tc>
          <w:tcPr>
            <w:tcW w:w="3118" w:type="dxa"/>
            <w:tcBorders>
              <w:top w:val="single" w:sz="12" w:space="0" w:color="auto"/>
              <w:left w:val="single" w:sz="12" w:space="0" w:color="auto"/>
              <w:bottom w:val="single" w:sz="4" w:space="0" w:color="auto"/>
              <w:right w:val="single" w:sz="12" w:space="0" w:color="auto"/>
            </w:tcBorders>
            <w:shd w:val="clear" w:color="auto" w:fill="C5E0B3" w:themeFill="accent6" w:themeFillTint="66"/>
            <w:noWrap/>
            <w:vAlign w:val="center"/>
          </w:tcPr>
          <w:p w14:paraId="381ED3C4"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55 428 914,28 </w:t>
            </w:r>
            <w:r w:rsidRPr="0018553F">
              <w:rPr>
                <w:rFonts w:ascii="Calibri" w:hAnsi="Calibri" w:cs="Calibri"/>
                <w:color w:val="000000"/>
                <w:sz w:val="20"/>
                <w:szCs w:val="20"/>
              </w:rPr>
              <w:t>kg</w:t>
            </w:r>
          </w:p>
        </w:tc>
      </w:tr>
      <w:tr w:rsidR="005C2C3D" w:rsidRPr="00E21483" w14:paraId="344D14D7" w14:textId="77777777" w:rsidTr="005C2C3D">
        <w:trPr>
          <w:trHeight w:val="340"/>
        </w:trPr>
        <w:tc>
          <w:tcPr>
            <w:tcW w:w="2520" w:type="dxa"/>
            <w:vMerge/>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34C595AF" w14:textId="77777777" w:rsidR="005C2C3D" w:rsidRPr="00E21483" w:rsidRDefault="005C2C3D" w:rsidP="009D46B3">
            <w:pPr>
              <w:spacing w:after="0" w:line="240" w:lineRule="auto"/>
              <w:rPr>
                <w:rFonts w:ascii="Calibri" w:eastAsia="Times New Roman" w:hAnsi="Calibri" w:cs="Calibri"/>
                <w:color w:val="000000"/>
                <w:sz w:val="20"/>
                <w:szCs w:val="20"/>
                <w:lang w:eastAsia="sk-SK"/>
              </w:rPr>
            </w:pPr>
          </w:p>
        </w:tc>
        <w:tc>
          <w:tcPr>
            <w:tcW w:w="3419" w:type="dxa"/>
            <w:tcBorders>
              <w:top w:val="single" w:sz="4" w:space="0" w:color="auto"/>
              <w:left w:val="single" w:sz="12" w:space="0" w:color="auto"/>
              <w:bottom w:val="single" w:sz="12" w:space="0" w:color="auto"/>
              <w:right w:val="single" w:sz="12" w:space="0" w:color="auto"/>
            </w:tcBorders>
            <w:shd w:val="clear" w:color="auto" w:fill="E2EFD9" w:themeFill="accent6" w:themeFillTint="33"/>
            <w:noWrap/>
            <w:vAlign w:val="center"/>
          </w:tcPr>
          <w:p w14:paraId="1B0C1DF0"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60 632,05</w:t>
            </w:r>
            <w:r w:rsidRPr="0018553F">
              <w:rPr>
                <w:rFonts w:ascii="Calibri" w:hAnsi="Calibri" w:cs="Calibri"/>
                <w:color w:val="000000"/>
                <w:sz w:val="20"/>
                <w:szCs w:val="20"/>
              </w:rPr>
              <w:t xml:space="preserve"> t</w:t>
            </w:r>
          </w:p>
        </w:tc>
        <w:tc>
          <w:tcPr>
            <w:tcW w:w="3118" w:type="dxa"/>
            <w:tcBorders>
              <w:top w:val="single" w:sz="4" w:space="0" w:color="auto"/>
              <w:left w:val="single" w:sz="12" w:space="0" w:color="auto"/>
              <w:bottom w:val="single" w:sz="12" w:space="0" w:color="auto"/>
              <w:right w:val="single" w:sz="12" w:space="0" w:color="auto"/>
            </w:tcBorders>
            <w:shd w:val="clear" w:color="auto" w:fill="C5E0B3" w:themeFill="accent6" w:themeFillTint="66"/>
            <w:noWrap/>
            <w:vAlign w:val="center"/>
          </w:tcPr>
          <w:p w14:paraId="3AE53EFA" w14:textId="77777777" w:rsidR="005C2C3D" w:rsidRPr="0018553F" w:rsidRDefault="005C2C3D" w:rsidP="009D46B3">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55 428,91</w:t>
            </w:r>
            <w:r w:rsidRPr="0018553F">
              <w:rPr>
                <w:rFonts w:ascii="Calibri" w:hAnsi="Calibri" w:cs="Calibri"/>
                <w:color w:val="000000"/>
                <w:sz w:val="20"/>
                <w:szCs w:val="20"/>
              </w:rPr>
              <w:t xml:space="preserve"> t</w:t>
            </w:r>
          </w:p>
        </w:tc>
      </w:tr>
      <w:tr w:rsidR="005C2C3D" w:rsidRPr="00E21483" w14:paraId="3EEDDFBD" w14:textId="77777777" w:rsidTr="005C2C3D">
        <w:trPr>
          <w:trHeight w:val="340"/>
        </w:trPr>
        <w:tc>
          <w:tcPr>
            <w:tcW w:w="2520"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0C255C8B" w14:textId="77777777" w:rsidR="005C2C3D" w:rsidRPr="006E02E8" w:rsidRDefault="005C2C3D" w:rsidP="009D46B3">
            <w:pPr>
              <w:spacing w:after="0"/>
              <w:rPr>
                <w:sz w:val="20"/>
                <w:szCs w:val="20"/>
              </w:rPr>
            </w:pPr>
            <w:r w:rsidRPr="006E02E8">
              <w:rPr>
                <w:sz w:val="20"/>
                <w:szCs w:val="20"/>
              </w:rPr>
              <w:t xml:space="preserve">Dopad na HDP </w:t>
            </w:r>
          </w:p>
        </w:tc>
        <w:tc>
          <w:tcPr>
            <w:tcW w:w="3419" w:type="dxa"/>
            <w:tcBorders>
              <w:top w:val="single" w:sz="12" w:space="0" w:color="auto"/>
              <w:left w:val="single" w:sz="12" w:space="0" w:color="auto"/>
              <w:bottom w:val="single" w:sz="4" w:space="0" w:color="auto"/>
              <w:right w:val="single" w:sz="12" w:space="0" w:color="auto"/>
            </w:tcBorders>
            <w:shd w:val="clear" w:color="auto" w:fill="auto"/>
            <w:noWrap/>
            <w:vAlign w:val="center"/>
          </w:tcPr>
          <w:p w14:paraId="105BEB35" w14:textId="77777777" w:rsidR="005C2C3D" w:rsidRPr="006E02E8"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296 mil. €</w:t>
            </w:r>
          </w:p>
        </w:tc>
        <w:tc>
          <w:tcPr>
            <w:tcW w:w="3118" w:type="dxa"/>
            <w:tcBorders>
              <w:top w:val="single" w:sz="12" w:space="0" w:color="auto"/>
              <w:left w:val="single" w:sz="12" w:space="0" w:color="auto"/>
              <w:bottom w:val="single" w:sz="4" w:space="0" w:color="auto"/>
              <w:right w:val="single" w:sz="12" w:space="0" w:color="auto"/>
            </w:tcBorders>
            <w:shd w:val="clear" w:color="auto" w:fill="auto"/>
            <w:vAlign w:val="center"/>
          </w:tcPr>
          <w:p w14:paraId="315B1843" w14:textId="77777777" w:rsidR="005C2C3D" w:rsidRPr="006E02E8"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287 mil. €</w:t>
            </w:r>
          </w:p>
        </w:tc>
      </w:tr>
      <w:tr w:rsidR="005C2C3D" w:rsidRPr="00E21483" w14:paraId="23D545AE" w14:textId="77777777" w:rsidTr="005C2C3D">
        <w:trPr>
          <w:trHeight w:val="340"/>
        </w:trPr>
        <w:tc>
          <w:tcPr>
            <w:tcW w:w="2520"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46AD3DCF" w14:textId="77777777" w:rsidR="005C2C3D" w:rsidRPr="006E02E8" w:rsidRDefault="005C2C3D" w:rsidP="009D46B3">
            <w:pPr>
              <w:spacing w:after="0"/>
              <w:rPr>
                <w:sz w:val="20"/>
                <w:szCs w:val="20"/>
              </w:rPr>
            </w:pPr>
            <w:r w:rsidRPr="006E02E8">
              <w:rPr>
                <w:sz w:val="20"/>
                <w:szCs w:val="20"/>
              </w:rPr>
              <w:t>Tvorba pracovných miest</w:t>
            </w:r>
          </w:p>
        </w:tc>
        <w:tc>
          <w:tcPr>
            <w:tcW w:w="3419" w:type="dxa"/>
            <w:tcBorders>
              <w:top w:val="single" w:sz="4" w:space="0" w:color="auto"/>
              <w:left w:val="single" w:sz="12" w:space="0" w:color="auto"/>
              <w:bottom w:val="single" w:sz="4" w:space="0" w:color="auto"/>
              <w:right w:val="single" w:sz="12" w:space="0" w:color="auto"/>
            </w:tcBorders>
            <w:shd w:val="clear" w:color="auto" w:fill="auto"/>
            <w:noWrap/>
            <w:vAlign w:val="center"/>
          </w:tcPr>
          <w:p w14:paraId="7F291A78" w14:textId="77777777" w:rsidR="005C2C3D" w:rsidRPr="006E02E8"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6527</w:t>
            </w:r>
          </w:p>
        </w:tc>
        <w:tc>
          <w:tcPr>
            <w:tcW w:w="3118" w:type="dxa"/>
            <w:tcBorders>
              <w:top w:val="single" w:sz="4" w:space="0" w:color="auto"/>
              <w:left w:val="single" w:sz="12" w:space="0" w:color="auto"/>
              <w:bottom w:val="single" w:sz="4" w:space="0" w:color="auto"/>
              <w:right w:val="single" w:sz="12" w:space="0" w:color="auto"/>
            </w:tcBorders>
            <w:shd w:val="clear" w:color="auto" w:fill="auto"/>
            <w:vAlign w:val="center"/>
          </w:tcPr>
          <w:p w14:paraId="66E9597D" w14:textId="77777777" w:rsidR="005C2C3D" w:rsidRPr="006E02E8"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6327</w:t>
            </w:r>
          </w:p>
        </w:tc>
      </w:tr>
      <w:tr w:rsidR="005C2C3D" w:rsidRPr="00E21483" w14:paraId="706014FA" w14:textId="77777777" w:rsidTr="005C2C3D">
        <w:trPr>
          <w:trHeight w:val="340"/>
        </w:trPr>
        <w:tc>
          <w:tcPr>
            <w:tcW w:w="2520"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7DED9A2" w14:textId="77777777" w:rsidR="005C2C3D" w:rsidRPr="006E02E8" w:rsidRDefault="005C2C3D" w:rsidP="009D46B3">
            <w:pPr>
              <w:spacing w:after="0"/>
              <w:rPr>
                <w:sz w:val="20"/>
                <w:szCs w:val="20"/>
              </w:rPr>
            </w:pPr>
            <w:r w:rsidRPr="006E02E8">
              <w:rPr>
                <w:sz w:val="20"/>
                <w:szCs w:val="20"/>
              </w:rPr>
              <w:t>Prínosy do verejného rozpočtu (ročne)</w:t>
            </w:r>
          </w:p>
        </w:tc>
        <w:tc>
          <w:tcPr>
            <w:tcW w:w="3419" w:type="dxa"/>
            <w:tcBorders>
              <w:top w:val="single" w:sz="4" w:space="0" w:color="auto"/>
              <w:left w:val="single" w:sz="12" w:space="0" w:color="auto"/>
              <w:bottom w:val="single" w:sz="12" w:space="0" w:color="auto"/>
              <w:right w:val="single" w:sz="12" w:space="0" w:color="auto"/>
            </w:tcBorders>
            <w:shd w:val="clear" w:color="auto" w:fill="auto"/>
            <w:noWrap/>
            <w:vAlign w:val="center"/>
          </w:tcPr>
          <w:p w14:paraId="4B50093F" w14:textId="77777777" w:rsidR="005C2C3D" w:rsidRPr="006E02E8"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72,787 mil. €</w:t>
            </w:r>
          </w:p>
        </w:tc>
        <w:tc>
          <w:tcPr>
            <w:tcW w:w="3118" w:type="dxa"/>
            <w:tcBorders>
              <w:top w:val="single" w:sz="4" w:space="0" w:color="auto"/>
              <w:left w:val="single" w:sz="12" w:space="0" w:color="auto"/>
              <w:bottom w:val="single" w:sz="12" w:space="0" w:color="auto"/>
              <w:right w:val="single" w:sz="12" w:space="0" w:color="auto"/>
            </w:tcBorders>
            <w:shd w:val="clear" w:color="auto" w:fill="auto"/>
            <w:vAlign w:val="center"/>
          </w:tcPr>
          <w:p w14:paraId="587F9738" w14:textId="77777777" w:rsidR="005C2C3D" w:rsidRPr="006E02E8" w:rsidRDefault="005C2C3D" w:rsidP="009D46B3">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70,557 mil. €</w:t>
            </w:r>
          </w:p>
        </w:tc>
      </w:tr>
    </w:tbl>
    <w:p w14:paraId="2243D1E9" w14:textId="77777777" w:rsidR="009D46B3" w:rsidRDefault="009D46B3" w:rsidP="00601946">
      <w:pPr>
        <w:rPr>
          <w:i/>
          <w:iCs/>
        </w:rPr>
      </w:pPr>
    </w:p>
    <w:p w14:paraId="5A37F6CD" w14:textId="680F227C" w:rsidR="00601946" w:rsidRPr="00207C11" w:rsidRDefault="00601946" w:rsidP="00601946">
      <w:pPr>
        <w:rPr>
          <w:i/>
          <w:iCs/>
        </w:rPr>
      </w:pPr>
      <w:r w:rsidRPr="00207C11">
        <w:rPr>
          <w:i/>
          <w:iCs/>
        </w:rPr>
        <w:t>Tab</w:t>
      </w:r>
      <w:r w:rsidR="00207C11" w:rsidRPr="00207C11">
        <w:rPr>
          <w:i/>
          <w:iCs/>
        </w:rPr>
        <w:t>.</w:t>
      </w:r>
      <w:r w:rsidRPr="00207C11">
        <w:rPr>
          <w:i/>
          <w:iCs/>
        </w:rPr>
        <w:t xml:space="preserve"> </w:t>
      </w:r>
      <w:r w:rsidR="009D46B3">
        <w:rPr>
          <w:i/>
          <w:iCs/>
        </w:rPr>
        <w:t>2</w:t>
      </w:r>
      <w:r w:rsidRPr="00207C11">
        <w:rPr>
          <w:i/>
          <w:iCs/>
        </w:rPr>
        <w:t xml:space="preserve">: </w:t>
      </w:r>
      <w:r w:rsidR="003D2F50" w:rsidRPr="00207C11">
        <w:rPr>
          <w:i/>
          <w:iCs/>
        </w:rPr>
        <w:t xml:space="preserve">Vyhodnotenie posudzovaných scenárov vztiahnutých na </w:t>
      </w:r>
      <w:r w:rsidR="009D46B3">
        <w:rPr>
          <w:i/>
          <w:iCs/>
        </w:rPr>
        <w:t>1 rodinný dom</w:t>
      </w:r>
    </w:p>
    <w:tbl>
      <w:tblPr>
        <w:tblW w:w="90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0"/>
        <w:gridCol w:w="3419"/>
        <w:gridCol w:w="3118"/>
      </w:tblGrid>
      <w:tr w:rsidR="005C2C3D" w:rsidRPr="00E21483" w14:paraId="3B4AA1A4" w14:textId="77777777" w:rsidTr="005C2C3D">
        <w:trPr>
          <w:trHeight w:val="340"/>
        </w:trPr>
        <w:tc>
          <w:tcPr>
            <w:tcW w:w="2520" w:type="dxa"/>
            <w:tcBorders>
              <w:bottom w:val="single" w:sz="12" w:space="0" w:color="auto"/>
              <w:right w:val="single" w:sz="12" w:space="0" w:color="auto"/>
            </w:tcBorders>
            <w:shd w:val="clear" w:color="auto" w:fill="auto"/>
            <w:noWrap/>
            <w:vAlign w:val="bottom"/>
            <w:hideMark/>
          </w:tcPr>
          <w:p w14:paraId="075B988D" w14:textId="77777777" w:rsidR="005C2C3D" w:rsidRPr="00E21483" w:rsidRDefault="005C2C3D" w:rsidP="006E02E8">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 </w:t>
            </w:r>
          </w:p>
        </w:tc>
        <w:tc>
          <w:tcPr>
            <w:tcW w:w="3419" w:type="dxa"/>
            <w:tcBorders>
              <w:left w:val="single" w:sz="12" w:space="0" w:color="auto"/>
              <w:bottom w:val="single" w:sz="12" w:space="0" w:color="auto"/>
            </w:tcBorders>
            <w:shd w:val="clear" w:color="auto" w:fill="E2EFD9" w:themeFill="accent6" w:themeFillTint="33"/>
            <w:noWrap/>
            <w:vAlign w:val="center"/>
            <w:hideMark/>
          </w:tcPr>
          <w:p w14:paraId="5FF80055" w14:textId="1C8946FE" w:rsidR="005C2C3D" w:rsidRPr="00E21483"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Základný scenár</w:t>
            </w:r>
          </w:p>
        </w:tc>
        <w:tc>
          <w:tcPr>
            <w:tcW w:w="3118" w:type="dxa"/>
            <w:tcBorders>
              <w:bottom w:val="single" w:sz="12" w:space="0" w:color="auto"/>
            </w:tcBorders>
            <w:shd w:val="clear" w:color="auto" w:fill="C5E0B3" w:themeFill="accent6" w:themeFillTint="66"/>
            <w:noWrap/>
            <w:vAlign w:val="center"/>
            <w:hideMark/>
          </w:tcPr>
          <w:p w14:paraId="4831B60A" w14:textId="5B00578B" w:rsidR="005C2C3D" w:rsidRPr="00E21483"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Ambiciózny scenár</w:t>
            </w:r>
          </w:p>
        </w:tc>
      </w:tr>
      <w:tr w:rsidR="005C2C3D" w:rsidRPr="00E21483" w14:paraId="3C9FF10D" w14:textId="77777777" w:rsidTr="005C2C3D">
        <w:trPr>
          <w:trHeight w:val="340"/>
        </w:trPr>
        <w:tc>
          <w:tcPr>
            <w:tcW w:w="2520" w:type="dxa"/>
            <w:tcBorders>
              <w:top w:val="single" w:sz="12" w:space="0" w:color="auto"/>
              <w:right w:val="single" w:sz="12" w:space="0" w:color="auto"/>
            </w:tcBorders>
            <w:shd w:val="clear" w:color="auto" w:fill="auto"/>
            <w:noWrap/>
            <w:vAlign w:val="center"/>
            <w:hideMark/>
          </w:tcPr>
          <w:p w14:paraId="0A16CFDC" w14:textId="119FC59E" w:rsidR="005C2C3D" w:rsidRPr="00E21483" w:rsidRDefault="005C2C3D" w:rsidP="006E02E8">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Úspora</w:t>
            </w:r>
            <w:r w:rsidRPr="00E21483">
              <w:rPr>
                <w:rFonts w:ascii="Calibri" w:eastAsia="Times New Roman" w:hAnsi="Calibri" w:cs="Calibri"/>
                <w:color w:val="000000"/>
                <w:sz w:val="20"/>
                <w:szCs w:val="20"/>
                <w:lang w:eastAsia="sk-SK"/>
              </w:rPr>
              <w:t xml:space="preserve"> energia </w:t>
            </w:r>
            <w:r>
              <w:rPr>
                <w:rFonts w:ascii="Calibri" w:eastAsia="Times New Roman" w:hAnsi="Calibri" w:cs="Calibri"/>
                <w:color w:val="000000"/>
                <w:sz w:val="20"/>
                <w:szCs w:val="20"/>
                <w:lang w:eastAsia="sk-SK"/>
              </w:rPr>
              <w:t>(ročne) na jeden dom</w:t>
            </w:r>
          </w:p>
        </w:tc>
        <w:tc>
          <w:tcPr>
            <w:tcW w:w="3419" w:type="dxa"/>
            <w:tcBorders>
              <w:top w:val="single" w:sz="12" w:space="0" w:color="auto"/>
              <w:left w:val="single" w:sz="12" w:space="0" w:color="auto"/>
            </w:tcBorders>
            <w:shd w:val="clear" w:color="auto" w:fill="E2EFD9" w:themeFill="accent6" w:themeFillTint="33"/>
            <w:noWrap/>
            <w:vAlign w:val="center"/>
          </w:tcPr>
          <w:p w14:paraId="2830E358" w14:textId="4BF75CA4" w:rsidR="005C2C3D" w:rsidRPr="0018553F"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44 487 kWh</w:t>
            </w:r>
          </w:p>
        </w:tc>
        <w:tc>
          <w:tcPr>
            <w:tcW w:w="3118" w:type="dxa"/>
            <w:tcBorders>
              <w:top w:val="single" w:sz="12" w:space="0" w:color="auto"/>
            </w:tcBorders>
            <w:shd w:val="clear" w:color="auto" w:fill="C5E0B3" w:themeFill="accent6" w:themeFillTint="66"/>
            <w:noWrap/>
            <w:vAlign w:val="center"/>
          </w:tcPr>
          <w:p w14:paraId="768E7830" w14:textId="53F6C1A3" w:rsidR="005C2C3D" w:rsidRPr="0018553F"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47 482 kWh</w:t>
            </w:r>
          </w:p>
        </w:tc>
      </w:tr>
      <w:tr w:rsidR="005C2C3D" w:rsidRPr="00E21483" w14:paraId="3907B890" w14:textId="77777777" w:rsidTr="005C2C3D">
        <w:trPr>
          <w:trHeight w:val="340"/>
        </w:trPr>
        <w:tc>
          <w:tcPr>
            <w:tcW w:w="2520" w:type="dxa"/>
            <w:tcBorders>
              <w:right w:val="single" w:sz="12" w:space="0" w:color="auto"/>
            </w:tcBorders>
            <w:shd w:val="clear" w:color="auto" w:fill="auto"/>
            <w:noWrap/>
            <w:vAlign w:val="center"/>
            <w:hideMark/>
          </w:tcPr>
          <w:p w14:paraId="1CA8F404" w14:textId="05A84F17" w:rsidR="005C2C3D" w:rsidRPr="00E21483" w:rsidRDefault="005C2C3D" w:rsidP="006E02E8">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Zníženie</w:t>
            </w:r>
            <w:r w:rsidRPr="00E21483">
              <w:rPr>
                <w:rFonts w:ascii="Calibri" w:eastAsia="Times New Roman" w:hAnsi="Calibri" w:cs="Calibri"/>
                <w:color w:val="000000"/>
                <w:sz w:val="20"/>
                <w:szCs w:val="20"/>
                <w:lang w:eastAsia="sk-SK"/>
              </w:rPr>
              <w:t xml:space="preserve"> emis</w:t>
            </w:r>
            <w:r>
              <w:rPr>
                <w:rFonts w:ascii="Calibri" w:eastAsia="Times New Roman" w:hAnsi="Calibri" w:cs="Calibri"/>
                <w:color w:val="000000"/>
                <w:sz w:val="20"/>
                <w:szCs w:val="20"/>
                <w:lang w:eastAsia="sk-SK"/>
              </w:rPr>
              <w:t>ií</w:t>
            </w:r>
            <w:r w:rsidRPr="00E21483">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CO</w:t>
            </w:r>
            <w:r>
              <w:rPr>
                <w:rFonts w:ascii="Calibri" w:eastAsia="Times New Roman" w:hAnsi="Calibri" w:cs="Calibri"/>
                <w:color w:val="000000"/>
                <w:sz w:val="20"/>
                <w:szCs w:val="20"/>
                <w:vertAlign w:val="subscript"/>
                <w:lang w:eastAsia="sk-SK"/>
              </w:rPr>
              <w:t>2</w:t>
            </w:r>
            <w:r>
              <w:rPr>
                <w:rFonts w:ascii="Calibri" w:eastAsia="Times New Roman" w:hAnsi="Calibri" w:cs="Calibri"/>
                <w:color w:val="000000"/>
                <w:sz w:val="20"/>
                <w:szCs w:val="20"/>
                <w:lang w:eastAsia="sk-SK"/>
              </w:rPr>
              <w:t xml:space="preserve"> (ročne) na jeden dom</w:t>
            </w:r>
          </w:p>
        </w:tc>
        <w:tc>
          <w:tcPr>
            <w:tcW w:w="3419" w:type="dxa"/>
            <w:tcBorders>
              <w:left w:val="single" w:sz="12" w:space="0" w:color="auto"/>
            </w:tcBorders>
            <w:shd w:val="clear" w:color="auto" w:fill="E2EFD9" w:themeFill="accent6" w:themeFillTint="33"/>
            <w:noWrap/>
            <w:vAlign w:val="center"/>
          </w:tcPr>
          <w:p w14:paraId="18A5F401" w14:textId="29E9D039" w:rsidR="005C2C3D" w:rsidRPr="0018553F"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6,48 t</w:t>
            </w:r>
          </w:p>
        </w:tc>
        <w:tc>
          <w:tcPr>
            <w:tcW w:w="3118" w:type="dxa"/>
            <w:shd w:val="clear" w:color="auto" w:fill="C5E0B3" w:themeFill="accent6" w:themeFillTint="66"/>
            <w:noWrap/>
            <w:vAlign w:val="center"/>
          </w:tcPr>
          <w:p w14:paraId="318E86D5" w14:textId="1F064EA9" w:rsidR="005C2C3D" w:rsidRPr="0018553F"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6,29 t</w:t>
            </w:r>
          </w:p>
        </w:tc>
      </w:tr>
    </w:tbl>
    <w:p w14:paraId="747BE660" w14:textId="0EBFE12B" w:rsidR="00243251" w:rsidRDefault="002020B6" w:rsidP="004E1ED8">
      <w:pPr>
        <w:pStyle w:val="Nadpis1"/>
      </w:pPr>
      <w:bookmarkStart w:id="1" w:name="_Toc62576760"/>
      <w:r>
        <w:rPr>
          <w:noProof/>
        </w:rPr>
        <w:lastRenderedPageBreak/>
        <mc:AlternateContent>
          <mc:Choice Requires="wps">
            <w:drawing>
              <wp:anchor distT="45720" distB="45720" distL="114300" distR="114300" simplePos="0" relativeHeight="251659264" behindDoc="0" locked="0" layoutInCell="1" allowOverlap="1" wp14:anchorId="2BF8D709" wp14:editId="1E7E026B">
                <wp:simplePos x="0" y="0"/>
                <wp:positionH relativeFrom="margin">
                  <wp:posOffset>-22225</wp:posOffset>
                </wp:positionH>
                <wp:positionV relativeFrom="paragraph">
                  <wp:posOffset>328930</wp:posOffset>
                </wp:positionV>
                <wp:extent cx="5743575" cy="5105400"/>
                <wp:effectExtent l="0" t="0" r="28575" b="1905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05400"/>
                        </a:xfrm>
                        <a:prstGeom prst="rect">
                          <a:avLst/>
                        </a:prstGeom>
                        <a:solidFill>
                          <a:schemeClr val="accent5">
                            <a:lumMod val="20000"/>
                            <a:lumOff val="80000"/>
                          </a:schemeClr>
                        </a:solidFill>
                        <a:ln w="9525">
                          <a:solidFill>
                            <a:srgbClr val="000000"/>
                          </a:solidFill>
                          <a:miter lim="800000"/>
                          <a:headEnd/>
                          <a:tailEnd/>
                        </a:ln>
                      </wps:spPr>
                      <wps:txbx>
                        <w:txbxContent>
                          <w:p w14:paraId="5CE5E10B" w14:textId="19EA7C47" w:rsidR="005C2C3D" w:rsidRPr="00765A82" w:rsidRDefault="005C2C3D">
                            <w:pPr>
                              <w:rPr>
                                <w:b/>
                                <w:bCs/>
                              </w:rPr>
                            </w:pPr>
                            <w:r w:rsidRPr="00765A82">
                              <w:rPr>
                                <w:b/>
                                <w:bCs/>
                              </w:rPr>
                              <w:t>HLAVNÉ BODY</w:t>
                            </w:r>
                          </w:p>
                          <w:p w14:paraId="437AA476" w14:textId="76029934" w:rsidR="005C2C3D" w:rsidRPr="00AB7285" w:rsidRDefault="005C2C3D" w:rsidP="00AB7285">
                            <w:pPr>
                              <w:pStyle w:val="Odstavecseseznamem"/>
                              <w:numPr>
                                <w:ilvl w:val="0"/>
                                <w:numId w:val="18"/>
                              </w:numPr>
                              <w:spacing w:before="120" w:after="120"/>
                              <w:ind w:left="357" w:hanging="357"/>
                              <w:contextualSpacing w:val="0"/>
                            </w:pPr>
                            <w:r w:rsidRPr="00AB7285">
                              <w:t xml:space="preserve">Na Slovensku je postavených </w:t>
                            </w:r>
                            <w:r>
                              <w:t xml:space="preserve">približne 1 060 000 </w:t>
                            </w:r>
                            <w:r w:rsidRPr="00AB7285">
                              <w:t>rodinných domov</w:t>
                            </w:r>
                            <w:r>
                              <w:t xml:space="preserve"> (RD)</w:t>
                            </w:r>
                            <w:r w:rsidRPr="00AB7285">
                              <w:t>,</w:t>
                            </w:r>
                          </w:p>
                          <w:p w14:paraId="35206273" w14:textId="0704B6FF" w:rsidR="005C2C3D" w:rsidRPr="00AB7285" w:rsidRDefault="005C2C3D" w:rsidP="00AB7285">
                            <w:pPr>
                              <w:pStyle w:val="Odstavecseseznamem"/>
                              <w:numPr>
                                <w:ilvl w:val="0"/>
                                <w:numId w:val="18"/>
                              </w:numPr>
                              <w:spacing w:before="120" w:after="120"/>
                              <w:ind w:left="357" w:hanging="357"/>
                              <w:contextualSpacing w:val="0"/>
                            </w:pPr>
                            <w:r w:rsidRPr="00AB7285">
                              <w:t>Počet bytov v rodinných domoch tvorí 50,7 % bytov na Slovensku,</w:t>
                            </w:r>
                          </w:p>
                          <w:p w14:paraId="5AED141A" w14:textId="6EF76F64" w:rsidR="005C2C3D" w:rsidRPr="00AB7285" w:rsidRDefault="005C2C3D" w:rsidP="00AB7285">
                            <w:pPr>
                              <w:pStyle w:val="Odstavecseseznamem"/>
                              <w:numPr>
                                <w:ilvl w:val="0"/>
                                <w:numId w:val="18"/>
                              </w:numPr>
                              <w:spacing w:before="120" w:after="120"/>
                              <w:ind w:left="357" w:hanging="357"/>
                              <w:contextualSpacing w:val="0"/>
                            </w:pPr>
                            <w:r w:rsidRPr="00AB7285">
                              <w:t>90,5 % bytového fondu je v súkromnom vlastníctve obyvateľov</w:t>
                            </w:r>
                            <w:r>
                              <w:t>,</w:t>
                            </w:r>
                          </w:p>
                          <w:p w14:paraId="44495146" w14:textId="67166BD1" w:rsidR="005C2C3D" w:rsidRPr="00AB7285" w:rsidRDefault="005C2C3D" w:rsidP="00AB7285">
                            <w:pPr>
                              <w:pStyle w:val="Odstavecseseznamem"/>
                              <w:numPr>
                                <w:ilvl w:val="0"/>
                                <w:numId w:val="18"/>
                              </w:numPr>
                              <w:spacing w:before="120" w:after="120"/>
                              <w:ind w:left="357" w:hanging="357"/>
                              <w:contextualSpacing w:val="0"/>
                            </w:pPr>
                            <w:r>
                              <w:t>P</w:t>
                            </w:r>
                            <w:r w:rsidRPr="00AB7285">
                              <w:t>očet obývaných bytov v rodinných domoch ku koncu 3Q roku 2020</w:t>
                            </w:r>
                            <w:r>
                              <w:t xml:space="preserve"> je </w:t>
                            </w:r>
                            <w:r w:rsidRPr="00AB7285">
                              <w:t>953 581,</w:t>
                            </w:r>
                          </w:p>
                          <w:p w14:paraId="146A2809" w14:textId="6E086D94" w:rsidR="005C2C3D" w:rsidRPr="00AB7285" w:rsidRDefault="005C2C3D" w:rsidP="00AB7285">
                            <w:pPr>
                              <w:pStyle w:val="Odstavecseseznamem"/>
                              <w:numPr>
                                <w:ilvl w:val="0"/>
                                <w:numId w:val="18"/>
                              </w:numPr>
                              <w:spacing w:before="120" w:after="120"/>
                              <w:ind w:left="357" w:hanging="357"/>
                              <w:contextualSpacing w:val="0"/>
                            </w:pPr>
                            <w:r w:rsidRPr="00AB7285">
                              <w:t>67,8 % rodinných domov bolo postavených pred rokom 1980 (t.j. sú staršie ako 40 rokov),</w:t>
                            </w:r>
                          </w:p>
                          <w:p w14:paraId="725C4893" w14:textId="7193A152" w:rsidR="005C2C3D" w:rsidRPr="00AB7285" w:rsidRDefault="005C2C3D" w:rsidP="00AB7285">
                            <w:pPr>
                              <w:pStyle w:val="Odstavecseseznamem"/>
                              <w:numPr>
                                <w:ilvl w:val="0"/>
                                <w:numId w:val="18"/>
                              </w:numPr>
                              <w:spacing w:before="120" w:after="120"/>
                              <w:ind w:left="357" w:hanging="357"/>
                              <w:contextualSpacing w:val="0"/>
                            </w:pPr>
                            <w:r w:rsidRPr="00AB7285">
                              <w:t>75,6 % rodinných domov bolo postavených pred rokom 1990 (t.j. sú staršie ako 30 rokov),</w:t>
                            </w:r>
                          </w:p>
                          <w:p w14:paraId="59613824" w14:textId="66E224E9" w:rsidR="005C2C3D" w:rsidRDefault="005C2C3D" w:rsidP="00AB7285">
                            <w:pPr>
                              <w:pStyle w:val="Odstavecseseznamem"/>
                              <w:numPr>
                                <w:ilvl w:val="0"/>
                                <w:numId w:val="18"/>
                              </w:numPr>
                              <w:spacing w:before="120" w:after="120"/>
                              <w:ind w:left="357" w:hanging="357"/>
                              <w:contextualSpacing w:val="0"/>
                            </w:pPr>
                            <w:r w:rsidRPr="00AB7285">
                              <w:t xml:space="preserve">Predpokladaný podiel </w:t>
                            </w:r>
                            <w:r>
                              <w:t xml:space="preserve">RD (bytov v RD) </w:t>
                            </w:r>
                            <w:r w:rsidRPr="00AB7285">
                              <w:t xml:space="preserve">ku koncu 2020 </w:t>
                            </w:r>
                            <w:r>
                              <w:t>na ktorých bol vykonaný aspoň čiastočný typ obnovy je</w:t>
                            </w:r>
                            <w:r w:rsidRPr="00AB7285">
                              <w:t xml:space="preserve"> 52,64 %,</w:t>
                            </w:r>
                          </w:p>
                          <w:p w14:paraId="51ABAD87" w14:textId="0CAEEB98" w:rsidR="005C2C3D" w:rsidRDefault="005C2C3D" w:rsidP="000B1C7E">
                            <w:pPr>
                              <w:pStyle w:val="Odstavecseseznamem"/>
                              <w:numPr>
                                <w:ilvl w:val="0"/>
                                <w:numId w:val="18"/>
                              </w:numPr>
                              <w:spacing w:before="120" w:after="120"/>
                              <w:ind w:left="357" w:hanging="357"/>
                              <w:contextualSpacing w:val="0"/>
                            </w:pPr>
                            <w:r w:rsidRPr="00AB7285">
                              <w:t>Veľká časť obnovených rodinných domov však bola v minulosti obnovená použitím nevhodných materiálov, často svojpomocne</w:t>
                            </w:r>
                            <w:r>
                              <w:t xml:space="preserve"> a</w:t>
                            </w:r>
                            <w:r w:rsidRPr="00AB7285">
                              <w:t xml:space="preserve"> bez odborných znalostí</w:t>
                            </w:r>
                            <w:r>
                              <w:t>,</w:t>
                            </w:r>
                            <w:r w:rsidRPr="00AB7285">
                              <w:t xml:space="preserve"> </w:t>
                            </w:r>
                          </w:p>
                          <w:p w14:paraId="59527ECC" w14:textId="51190E0A" w:rsidR="005C2C3D" w:rsidRPr="00987DAC" w:rsidRDefault="005C2C3D" w:rsidP="000B1C7E">
                            <w:pPr>
                              <w:pStyle w:val="Odstavecseseznamem"/>
                              <w:numPr>
                                <w:ilvl w:val="0"/>
                                <w:numId w:val="18"/>
                              </w:numPr>
                              <w:spacing w:before="120" w:after="120"/>
                              <w:ind w:left="357" w:hanging="357"/>
                              <w:contextualSpacing w:val="0"/>
                            </w:pPr>
                            <w:r>
                              <w:t xml:space="preserve">Doterajšie obnovy RD boli </w:t>
                            </w:r>
                            <w:r w:rsidRPr="00987DAC">
                              <w:t>výlučne financovan</w:t>
                            </w:r>
                            <w:r>
                              <w:t>é</w:t>
                            </w:r>
                            <w:r w:rsidRPr="00987DAC">
                              <w:t xml:space="preserve"> zo súkromných zdrojov vlastníkov, prípadne v kombinácii s využitím úveru zo stavebného sporenia </w:t>
                            </w:r>
                            <w:r>
                              <w:t xml:space="preserve">alebo </w:t>
                            </w:r>
                            <w:r w:rsidRPr="00987DAC">
                              <w:t>úveru komerčnej banky</w:t>
                            </w:r>
                          </w:p>
                          <w:p w14:paraId="0061CDBD" w14:textId="2BDC8F1C" w:rsidR="005C2C3D" w:rsidRDefault="005C2C3D" w:rsidP="0057327C">
                            <w:pPr>
                              <w:pStyle w:val="Odstavecseseznamem"/>
                              <w:numPr>
                                <w:ilvl w:val="0"/>
                                <w:numId w:val="18"/>
                              </w:numPr>
                              <w:spacing w:before="120" w:after="120"/>
                              <w:ind w:left="357" w:hanging="357"/>
                              <w:contextualSpacing w:val="0"/>
                            </w:pPr>
                            <w:r>
                              <w:t xml:space="preserve">Ku koncu roku 2020 je certifikovaných </w:t>
                            </w:r>
                            <w:r w:rsidRPr="001A055E">
                              <w:t>120</w:t>
                            </w:r>
                            <w:r>
                              <w:t xml:space="preserve"> </w:t>
                            </w:r>
                            <w:r w:rsidRPr="001A055E">
                              <w:t>732 rodinných domov (t.j. cca 11,4 %)</w:t>
                            </w:r>
                          </w:p>
                          <w:p w14:paraId="1AEA7DBA" w14:textId="5C840CD5" w:rsidR="005C2C3D" w:rsidRDefault="005C2C3D" w:rsidP="00BC5C99">
                            <w:pPr>
                              <w:pStyle w:val="Odstavecseseznamem"/>
                              <w:numPr>
                                <w:ilvl w:val="0"/>
                                <w:numId w:val="18"/>
                              </w:numPr>
                              <w:spacing w:before="120" w:after="120"/>
                              <w:ind w:left="357" w:hanging="357"/>
                              <w:contextualSpacing w:val="0"/>
                            </w:pPr>
                            <w:r>
                              <w:t xml:space="preserve">Zo všetkých certifikovaných obnov rodinných domov v roku 2020 bolo 17 % v energetickej triede A0, 55 % v triede A1 a 25 % v triede B, </w:t>
                            </w:r>
                          </w:p>
                          <w:p w14:paraId="4E60EE34" w14:textId="50ED3406" w:rsidR="005C2C3D" w:rsidRDefault="005C2C3D" w:rsidP="00AB7285">
                            <w:pPr>
                              <w:pStyle w:val="Odstavecseseznamem"/>
                              <w:numPr>
                                <w:ilvl w:val="0"/>
                                <w:numId w:val="18"/>
                              </w:numPr>
                              <w:spacing w:before="120" w:after="120"/>
                              <w:ind w:left="357" w:hanging="357"/>
                              <w:contextualSpacing w:val="0"/>
                            </w:pPr>
                            <w:r>
                              <w:t>Počet obývaných bytov v rodinných domoch, ktoré neprešli žiadnou obnovou a sú staršie ako 10 rokov je 405 482 (je možné predpokladať že sa jedná o približne 390 000 rodinných domov),</w:t>
                            </w:r>
                          </w:p>
                          <w:p w14:paraId="6542B337" w14:textId="49D05D47" w:rsidR="005C2C3D" w:rsidRDefault="005C2C3D" w:rsidP="0026748B">
                            <w:pPr>
                              <w:pStyle w:val="Odstavecseseznamem"/>
                              <w:numPr>
                                <w:ilvl w:val="0"/>
                                <w:numId w:val="18"/>
                              </w:numPr>
                              <w:spacing w:before="60" w:after="60"/>
                              <w:ind w:left="357" w:hanging="357"/>
                              <w:contextualSpacing w:val="0"/>
                            </w:pPr>
                            <w:r>
                              <w:t xml:space="preserve">Podľa prieskumu agentúry Focus </w:t>
                            </w:r>
                            <w:r w:rsidRPr="0035073A">
                              <w:t>plánujú</w:t>
                            </w:r>
                            <w:r>
                              <w:t xml:space="preserve"> š</w:t>
                            </w:r>
                            <w:r w:rsidRPr="0035073A">
                              <w:t xml:space="preserve">tyria z desiatich vlastníkov </w:t>
                            </w:r>
                            <w:r>
                              <w:t>RD</w:t>
                            </w:r>
                            <w:r w:rsidRPr="0035073A">
                              <w:t xml:space="preserve"> staršieho ako 10 rokov </w:t>
                            </w:r>
                            <w:r>
                              <w:t xml:space="preserve">na svojom dome vykonať </w:t>
                            </w:r>
                            <w:r w:rsidRPr="0035073A">
                              <w:t xml:space="preserve">nejaký typ </w:t>
                            </w:r>
                            <w:r>
                              <w:t xml:space="preserve">obnovy </w:t>
                            </w:r>
                            <w:r w:rsidRPr="0035073A">
                              <w:t>v najbližších dvoch rokoch</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8D709" id="_x0000_t202" coordsize="21600,21600" o:spt="202" path="m,l,21600r21600,l21600,xe">
                <v:stroke joinstyle="miter"/>
                <v:path gradientshapeok="t" o:connecttype="rect"/>
              </v:shapetype>
              <v:shape id="Textové pole 2" o:spid="_x0000_s1026" type="#_x0000_t202" style="position:absolute;left:0;text-align:left;margin-left:-1.75pt;margin-top:25.9pt;width:452.25pt;height:40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" fillcolor="#deeaf6 [664]">
                <v:textbox>
                  <w:txbxContent>
                    <w:p w14:paraId="5CE5E10B" w14:textId="19EA7C47" w:rsidR="005C2C3D" w:rsidRPr="00765A82" w:rsidRDefault="005C2C3D">
                      <w:pPr>
                        <w:rPr>
                          <w:b/>
                          <w:bCs/>
                        </w:rPr>
                      </w:pPr>
                      <w:r w:rsidRPr="00765A82">
                        <w:rPr>
                          <w:b/>
                          <w:bCs/>
                        </w:rPr>
                        <w:t>HLAVNÉ BODY</w:t>
                      </w:r>
                    </w:p>
                    <w:p w14:paraId="437AA476" w14:textId="76029934" w:rsidR="005C2C3D" w:rsidRPr="00AB7285" w:rsidRDefault="005C2C3D" w:rsidP="00AB7285">
                      <w:pPr>
                        <w:pStyle w:val="Odstavecseseznamem"/>
                        <w:numPr>
                          <w:ilvl w:val="0"/>
                          <w:numId w:val="18"/>
                        </w:numPr>
                        <w:spacing w:before="120" w:after="120"/>
                        <w:ind w:left="357" w:hanging="357"/>
                        <w:contextualSpacing w:val="0"/>
                      </w:pPr>
                      <w:r w:rsidRPr="00AB7285">
                        <w:t xml:space="preserve">Na Slovensku je postavených </w:t>
                      </w:r>
                      <w:r>
                        <w:t xml:space="preserve">približne 1 060 000 </w:t>
                      </w:r>
                      <w:r w:rsidRPr="00AB7285">
                        <w:t>rodinných domov</w:t>
                      </w:r>
                      <w:r>
                        <w:t xml:space="preserve"> (RD)</w:t>
                      </w:r>
                      <w:r w:rsidRPr="00AB7285">
                        <w:t>,</w:t>
                      </w:r>
                    </w:p>
                    <w:p w14:paraId="35206273" w14:textId="0704B6FF" w:rsidR="005C2C3D" w:rsidRPr="00AB7285" w:rsidRDefault="005C2C3D" w:rsidP="00AB7285">
                      <w:pPr>
                        <w:pStyle w:val="Odstavecseseznamem"/>
                        <w:numPr>
                          <w:ilvl w:val="0"/>
                          <w:numId w:val="18"/>
                        </w:numPr>
                        <w:spacing w:before="120" w:after="120"/>
                        <w:ind w:left="357" w:hanging="357"/>
                        <w:contextualSpacing w:val="0"/>
                      </w:pPr>
                      <w:r w:rsidRPr="00AB7285">
                        <w:t>Počet bytov v rodinných domoch tvorí 50,7 % bytov na Slovensku,</w:t>
                      </w:r>
                    </w:p>
                    <w:p w14:paraId="5AED141A" w14:textId="6EF76F64" w:rsidR="005C2C3D" w:rsidRPr="00AB7285" w:rsidRDefault="005C2C3D" w:rsidP="00AB7285">
                      <w:pPr>
                        <w:pStyle w:val="Odstavecseseznamem"/>
                        <w:numPr>
                          <w:ilvl w:val="0"/>
                          <w:numId w:val="18"/>
                        </w:numPr>
                        <w:spacing w:before="120" w:after="120"/>
                        <w:ind w:left="357" w:hanging="357"/>
                        <w:contextualSpacing w:val="0"/>
                      </w:pPr>
                      <w:r w:rsidRPr="00AB7285">
                        <w:t>90,5 % bytového fondu je v súkromnom vlastníctve obyvateľov</w:t>
                      </w:r>
                      <w:r>
                        <w:t>,</w:t>
                      </w:r>
                    </w:p>
                    <w:p w14:paraId="44495146" w14:textId="67166BD1" w:rsidR="005C2C3D" w:rsidRPr="00AB7285" w:rsidRDefault="005C2C3D" w:rsidP="00AB7285">
                      <w:pPr>
                        <w:pStyle w:val="Odstavecseseznamem"/>
                        <w:numPr>
                          <w:ilvl w:val="0"/>
                          <w:numId w:val="18"/>
                        </w:numPr>
                        <w:spacing w:before="120" w:after="120"/>
                        <w:ind w:left="357" w:hanging="357"/>
                        <w:contextualSpacing w:val="0"/>
                      </w:pPr>
                      <w:r>
                        <w:t>P</w:t>
                      </w:r>
                      <w:r w:rsidRPr="00AB7285">
                        <w:t>očet obývaných bytov v rodinných domoch ku koncu 3Q roku 2020</w:t>
                      </w:r>
                      <w:r>
                        <w:t xml:space="preserve"> je </w:t>
                      </w:r>
                      <w:r w:rsidRPr="00AB7285">
                        <w:t>953 581,</w:t>
                      </w:r>
                    </w:p>
                    <w:p w14:paraId="146A2809" w14:textId="6E086D94" w:rsidR="005C2C3D" w:rsidRPr="00AB7285" w:rsidRDefault="005C2C3D" w:rsidP="00AB7285">
                      <w:pPr>
                        <w:pStyle w:val="Odstavecseseznamem"/>
                        <w:numPr>
                          <w:ilvl w:val="0"/>
                          <w:numId w:val="18"/>
                        </w:numPr>
                        <w:spacing w:before="120" w:after="120"/>
                        <w:ind w:left="357" w:hanging="357"/>
                        <w:contextualSpacing w:val="0"/>
                      </w:pPr>
                      <w:r w:rsidRPr="00AB7285">
                        <w:t>67,8 % rodinných domov bolo postavených pred rokom 1980 (t.j. sú staršie ako 40 rokov),</w:t>
                      </w:r>
                    </w:p>
                    <w:p w14:paraId="725C4893" w14:textId="7193A152" w:rsidR="005C2C3D" w:rsidRPr="00AB7285" w:rsidRDefault="005C2C3D" w:rsidP="00AB7285">
                      <w:pPr>
                        <w:pStyle w:val="Odstavecseseznamem"/>
                        <w:numPr>
                          <w:ilvl w:val="0"/>
                          <w:numId w:val="18"/>
                        </w:numPr>
                        <w:spacing w:before="120" w:after="120"/>
                        <w:ind w:left="357" w:hanging="357"/>
                        <w:contextualSpacing w:val="0"/>
                      </w:pPr>
                      <w:r w:rsidRPr="00AB7285">
                        <w:t>75,6 % rodinných domov bolo postavených pred rokom 1990 (t.j. sú staršie ako 30 rokov),</w:t>
                      </w:r>
                    </w:p>
                    <w:p w14:paraId="59613824" w14:textId="66E224E9" w:rsidR="005C2C3D" w:rsidRDefault="005C2C3D" w:rsidP="00AB7285">
                      <w:pPr>
                        <w:pStyle w:val="Odstavecseseznamem"/>
                        <w:numPr>
                          <w:ilvl w:val="0"/>
                          <w:numId w:val="18"/>
                        </w:numPr>
                        <w:spacing w:before="120" w:after="120"/>
                        <w:ind w:left="357" w:hanging="357"/>
                        <w:contextualSpacing w:val="0"/>
                      </w:pPr>
                      <w:r w:rsidRPr="00AB7285">
                        <w:t xml:space="preserve">Predpokladaný podiel </w:t>
                      </w:r>
                      <w:r>
                        <w:t xml:space="preserve">RD (bytov v RD) </w:t>
                      </w:r>
                      <w:r w:rsidRPr="00AB7285">
                        <w:t xml:space="preserve">ku koncu 2020 </w:t>
                      </w:r>
                      <w:r>
                        <w:t>na ktorých bol vykonaný aspoň čiastočný typ obnovy je</w:t>
                      </w:r>
                      <w:r w:rsidRPr="00AB7285">
                        <w:t xml:space="preserve"> 52,64 %,</w:t>
                      </w:r>
                    </w:p>
                    <w:p w14:paraId="51ABAD87" w14:textId="0CAEEB98" w:rsidR="005C2C3D" w:rsidRDefault="005C2C3D" w:rsidP="000B1C7E">
                      <w:pPr>
                        <w:pStyle w:val="Odstavecseseznamem"/>
                        <w:numPr>
                          <w:ilvl w:val="0"/>
                          <w:numId w:val="18"/>
                        </w:numPr>
                        <w:spacing w:before="120" w:after="120"/>
                        <w:ind w:left="357" w:hanging="357"/>
                        <w:contextualSpacing w:val="0"/>
                      </w:pPr>
                      <w:r w:rsidRPr="00AB7285">
                        <w:t>Veľká časť obnovených rodinných domov však bola v minulosti obnovená použitím nevhodných materiálov, často svojpomocne</w:t>
                      </w:r>
                      <w:r>
                        <w:t xml:space="preserve"> a</w:t>
                      </w:r>
                      <w:r w:rsidRPr="00AB7285">
                        <w:t xml:space="preserve"> bez odborných znalostí</w:t>
                      </w:r>
                      <w:r>
                        <w:t>,</w:t>
                      </w:r>
                      <w:r w:rsidRPr="00AB7285">
                        <w:t xml:space="preserve"> </w:t>
                      </w:r>
                    </w:p>
                    <w:p w14:paraId="59527ECC" w14:textId="51190E0A" w:rsidR="005C2C3D" w:rsidRPr="00987DAC" w:rsidRDefault="005C2C3D" w:rsidP="000B1C7E">
                      <w:pPr>
                        <w:pStyle w:val="Odstavecseseznamem"/>
                        <w:numPr>
                          <w:ilvl w:val="0"/>
                          <w:numId w:val="18"/>
                        </w:numPr>
                        <w:spacing w:before="120" w:after="120"/>
                        <w:ind w:left="357" w:hanging="357"/>
                        <w:contextualSpacing w:val="0"/>
                      </w:pPr>
                      <w:r>
                        <w:t xml:space="preserve">Doterajšie obnovy RD boli </w:t>
                      </w:r>
                      <w:r w:rsidRPr="00987DAC">
                        <w:t>výlučne financovan</w:t>
                      </w:r>
                      <w:r>
                        <w:t>é</w:t>
                      </w:r>
                      <w:r w:rsidRPr="00987DAC">
                        <w:t xml:space="preserve"> zo súkromných zdrojov vlastníkov, prípadne v kombinácii s využitím úveru zo stavebného sporenia </w:t>
                      </w:r>
                      <w:r>
                        <w:t xml:space="preserve">alebo </w:t>
                      </w:r>
                      <w:r w:rsidRPr="00987DAC">
                        <w:t>úveru komerčnej banky</w:t>
                      </w:r>
                    </w:p>
                    <w:p w14:paraId="0061CDBD" w14:textId="2BDC8F1C" w:rsidR="005C2C3D" w:rsidRDefault="005C2C3D" w:rsidP="0057327C">
                      <w:pPr>
                        <w:pStyle w:val="Odstavecseseznamem"/>
                        <w:numPr>
                          <w:ilvl w:val="0"/>
                          <w:numId w:val="18"/>
                        </w:numPr>
                        <w:spacing w:before="120" w:after="120"/>
                        <w:ind w:left="357" w:hanging="357"/>
                        <w:contextualSpacing w:val="0"/>
                      </w:pPr>
                      <w:r>
                        <w:t xml:space="preserve">Ku koncu roku 2020 je certifikovaných </w:t>
                      </w:r>
                      <w:r w:rsidRPr="001A055E">
                        <w:t>120</w:t>
                      </w:r>
                      <w:r>
                        <w:t xml:space="preserve"> </w:t>
                      </w:r>
                      <w:r w:rsidRPr="001A055E">
                        <w:t>732 rodinných domov (t.j. cca 11,4 %)</w:t>
                      </w:r>
                    </w:p>
                    <w:p w14:paraId="1AEA7DBA" w14:textId="5C840CD5" w:rsidR="005C2C3D" w:rsidRDefault="005C2C3D" w:rsidP="00BC5C99">
                      <w:pPr>
                        <w:pStyle w:val="Odstavecseseznamem"/>
                        <w:numPr>
                          <w:ilvl w:val="0"/>
                          <w:numId w:val="18"/>
                        </w:numPr>
                        <w:spacing w:before="120" w:after="120"/>
                        <w:ind w:left="357" w:hanging="357"/>
                        <w:contextualSpacing w:val="0"/>
                      </w:pPr>
                      <w:r>
                        <w:t xml:space="preserve">Zo všetkých certifikovaných obnov rodinných domov v roku 2020 bolo 17 % v energetickej triede A0, 55 % v triede A1 a 25 % v triede B, </w:t>
                      </w:r>
                    </w:p>
                    <w:p w14:paraId="4E60EE34" w14:textId="50ED3406" w:rsidR="005C2C3D" w:rsidRDefault="005C2C3D" w:rsidP="00AB7285">
                      <w:pPr>
                        <w:pStyle w:val="Odstavecseseznamem"/>
                        <w:numPr>
                          <w:ilvl w:val="0"/>
                          <w:numId w:val="18"/>
                        </w:numPr>
                        <w:spacing w:before="120" w:after="120"/>
                        <w:ind w:left="357" w:hanging="357"/>
                        <w:contextualSpacing w:val="0"/>
                      </w:pPr>
                      <w:r>
                        <w:t>Počet obývaných bytov v rodinných domoch, ktoré neprešli žiadnou obnovou a sú staršie ako 10 rokov je 405 482 (je možné predpokladať že sa jedná o približne 390 000 rodinných domov),</w:t>
                      </w:r>
                    </w:p>
                    <w:p w14:paraId="6542B337" w14:textId="49D05D47" w:rsidR="005C2C3D" w:rsidRDefault="005C2C3D" w:rsidP="0026748B">
                      <w:pPr>
                        <w:pStyle w:val="Odstavecseseznamem"/>
                        <w:numPr>
                          <w:ilvl w:val="0"/>
                          <w:numId w:val="18"/>
                        </w:numPr>
                        <w:spacing w:before="60" w:after="60"/>
                        <w:ind w:left="357" w:hanging="357"/>
                        <w:contextualSpacing w:val="0"/>
                      </w:pPr>
                      <w:r>
                        <w:t xml:space="preserve">Podľa prieskumu agentúry Focus </w:t>
                      </w:r>
                      <w:r w:rsidRPr="0035073A">
                        <w:t>plánujú</w:t>
                      </w:r>
                      <w:r>
                        <w:t xml:space="preserve"> š</w:t>
                      </w:r>
                      <w:r w:rsidRPr="0035073A">
                        <w:t xml:space="preserve">tyria z desiatich vlastníkov </w:t>
                      </w:r>
                      <w:r>
                        <w:t>RD</w:t>
                      </w:r>
                      <w:r w:rsidRPr="0035073A">
                        <w:t xml:space="preserve"> staršieho ako 10 rokov </w:t>
                      </w:r>
                      <w:r>
                        <w:t xml:space="preserve">na svojom dome vykonať </w:t>
                      </w:r>
                      <w:r w:rsidRPr="0035073A">
                        <w:t xml:space="preserve">nejaký typ </w:t>
                      </w:r>
                      <w:r>
                        <w:t xml:space="preserve">obnovy </w:t>
                      </w:r>
                      <w:r w:rsidRPr="0035073A">
                        <w:t>v najbližších dvoch rokoch</w:t>
                      </w:r>
                      <w:r>
                        <w:t>.</w:t>
                      </w:r>
                    </w:p>
                  </w:txbxContent>
                </v:textbox>
                <w10:wrap type="square" anchorx="margin"/>
              </v:shape>
            </w:pict>
          </mc:Fallback>
        </mc:AlternateContent>
      </w:r>
      <w:r w:rsidR="00243251" w:rsidRPr="004E1ED8">
        <w:t>Popis súčasného stavu</w:t>
      </w:r>
      <w:bookmarkEnd w:id="1"/>
    </w:p>
    <w:p w14:paraId="5B8142CE" w14:textId="57613212" w:rsidR="00372017" w:rsidRDefault="0057327C" w:rsidP="0057327C">
      <w:pPr>
        <w:pStyle w:val="Nadpis2"/>
        <w:numPr>
          <w:ilvl w:val="1"/>
          <w:numId w:val="14"/>
        </w:numPr>
        <w:ind w:left="357" w:hanging="357"/>
      </w:pPr>
      <w:bookmarkStart w:id="2" w:name="_Toc62576761"/>
      <w:r>
        <w:t>Štatistický p</w:t>
      </w:r>
      <w:r w:rsidR="00372017">
        <w:t>rehľad fondu rodinn</w:t>
      </w:r>
      <w:r w:rsidR="00595AE1">
        <w:t>ých domov v SR</w:t>
      </w:r>
      <w:bookmarkEnd w:id="2"/>
    </w:p>
    <w:p w14:paraId="315D6B7E" w14:textId="3BA8865F" w:rsidR="002020B6" w:rsidRDefault="002020B6" w:rsidP="008770E1">
      <w:pPr>
        <w:spacing w:line="276" w:lineRule="auto"/>
        <w:jc w:val="both"/>
      </w:pPr>
      <w:r w:rsidRPr="00215E7D">
        <w:t xml:space="preserve">O rodinných domoch nie sú k dispozícii podrobnejšie štatistické údaje alebo databázy. Najpodrobnejšie štatistické údaje o rodinných domoch </w:t>
      </w:r>
      <w:r w:rsidR="00215E7D" w:rsidRPr="00215E7D">
        <w:t>vychádzajú z posledného sčítania obyvateľov domov a bytov v roku 2011. Prehľad fondu rodinných domov v</w:t>
      </w:r>
      <w:r w:rsidR="00215E7D">
        <w:t> </w:t>
      </w:r>
      <w:r w:rsidR="00215E7D" w:rsidRPr="00215E7D">
        <w:t>SR</w:t>
      </w:r>
      <w:r w:rsidR="00215E7D">
        <w:t>,</w:t>
      </w:r>
      <w:r w:rsidR="00215E7D" w:rsidRPr="00215E7D">
        <w:t xml:space="preserve"> opísaný v tejto kapitole</w:t>
      </w:r>
      <w:r w:rsidR="00215E7D">
        <w:t>,</w:t>
      </w:r>
      <w:r w:rsidR="00215E7D" w:rsidRPr="00215E7D">
        <w:t xml:space="preserve"> vychádza preto </w:t>
      </w:r>
      <w:r w:rsidR="00595AE1">
        <w:t xml:space="preserve">predovšetkým </w:t>
      </w:r>
      <w:r w:rsidR="00215E7D" w:rsidRPr="00215E7D">
        <w:t xml:space="preserve">z týchto údajov, poprípade je doplnený o doplnkové údaje zo </w:t>
      </w:r>
      <w:r w:rsidR="00215E7D">
        <w:t>Štatistického úradu</w:t>
      </w:r>
      <w:r w:rsidR="00215E7D" w:rsidRPr="00215E7D">
        <w:t>, údaj</w:t>
      </w:r>
      <w:r w:rsidR="00E90F0F">
        <w:t>e</w:t>
      </w:r>
      <w:r w:rsidR="00215E7D" w:rsidRPr="00215E7D">
        <w:t xml:space="preserve"> MDV SR a odborn</w:t>
      </w:r>
      <w:r w:rsidR="00E90F0F">
        <w:t>é</w:t>
      </w:r>
      <w:r w:rsidR="00215E7D" w:rsidRPr="00215E7D">
        <w:t xml:space="preserve"> odhad</w:t>
      </w:r>
      <w:r w:rsidR="00E90F0F">
        <w:t>y</w:t>
      </w:r>
      <w:r w:rsidR="00215E7D" w:rsidRPr="00215E7D">
        <w:t xml:space="preserve">. </w:t>
      </w:r>
    </w:p>
    <w:p w14:paraId="2D227FB8" w14:textId="33976639" w:rsidR="00EB46B3" w:rsidRDefault="00343374" w:rsidP="008770E1">
      <w:pPr>
        <w:spacing w:line="276" w:lineRule="auto"/>
        <w:jc w:val="both"/>
      </w:pPr>
      <w:r w:rsidRPr="005206DF">
        <w:t xml:space="preserve">Na Slovensku je </w:t>
      </w:r>
      <w:r w:rsidR="000E50D5">
        <w:t xml:space="preserve">v súčasnosti </w:t>
      </w:r>
      <w:r w:rsidRPr="005206DF">
        <w:t xml:space="preserve">postavených viac ako jeden milión rodinných </w:t>
      </w:r>
      <w:r>
        <w:t>domov</w:t>
      </w:r>
      <w:r w:rsidR="000E50D5">
        <w:t>. Viac</w:t>
      </w:r>
      <w:r w:rsidRPr="005206DF">
        <w:t xml:space="preserve"> ako polovica </w:t>
      </w:r>
      <w:r w:rsidR="00F64DBF">
        <w:t>(50,7 %) bytových jednotiek na Slovensku sa nachádza práve v rodinných domoch</w:t>
      </w:r>
      <w:r w:rsidRPr="005206DF">
        <w:t xml:space="preserve">. </w:t>
      </w:r>
      <w:r w:rsidR="00E90F0F">
        <w:t>Na</w:t>
      </w:r>
      <w:r w:rsidR="00F64DBF">
        <w:t>príklad v Českej republike tvoria byty v rodinných domoch len 44 % všetkých bytov v krajine [</w:t>
      </w:r>
      <w:r w:rsidR="008770E1">
        <w:t>4</w:t>
      </w:r>
      <w:r w:rsidR="00F64DBF">
        <w:t>]. Táto skutočnosť je ovplyvnená aj faktom</w:t>
      </w:r>
      <w:r w:rsidR="000E50D5">
        <w:t>, že Slovensko patrí medzi krajiny EÚ s najväčším podielov obyvateľov žijúcich vo vidieckych oblastiach [</w:t>
      </w:r>
      <w:r w:rsidR="008770E1">
        <w:t>5</w:t>
      </w:r>
      <w:r w:rsidR="000E50D5">
        <w:t>]</w:t>
      </w:r>
      <w:r w:rsidR="00F64DBF">
        <w:t>,</w:t>
      </w:r>
      <w:r w:rsidR="000E50D5">
        <w:t xml:space="preserve"> v ktorých je podiel rodinných domov k bytových domom</w:t>
      </w:r>
      <w:r w:rsidR="00F64DBF">
        <w:t xml:space="preserve"> pochopiteľne</w:t>
      </w:r>
      <w:r w:rsidR="000E50D5">
        <w:t xml:space="preserve"> násobne vyšší než v mestách. </w:t>
      </w:r>
      <w:r w:rsidR="00F64DBF">
        <w:t>Rodinné domy t</w:t>
      </w:r>
      <w:r w:rsidRPr="005206DF">
        <w:t xml:space="preserve">voria teda dôležitú súčasť našej spoločnosti a výrazne </w:t>
      </w:r>
      <w:r w:rsidRPr="00F64DBF">
        <w:t>prispievajú ku kvalite života našich občanov. Prevažná časť z nich bola postavená pred 40-timi rokmi</w:t>
      </w:r>
      <w:r w:rsidR="0057327C">
        <w:t xml:space="preserve">. </w:t>
      </w:r>
    </w:p>
    <w:p w14:paraId="1768AD06" w14:textId="77777777" w:rsidR="00595AE1" w:rsidRDefault="00595AE1" w:rsidP="00EB46B3">
      <w:pPr>
        <w:spacing w:line="276" w:lineRule="auto"/>
        <w:jc w:val="both"/>
      </w:pPr>
    </w:p>
    <w:p w14:paraId="207BD238" w14:textId="740057B2" w:rsidR="00EB46B3" w:rsidRPr="00EB46B3" w:rsidRDefault="009D40EF" w:rsidP="00EB46B3">
      <w:pPr>
        <w:spacing w:line="276" w:lineRule="auto"/>
        <w:jc w:val="both"/>
      </w:pPr>
      <w:r>
        <w:lastRenderedPageBreak/>
        <w:t>Súhrnný prehľad dostupných údajov popisuje nasledujúca tabuľka a graf.</w:t>
      </w:r>
      <w:r w:rsidR="00595AE1">
        <w:t xml:space="preserve"> </w:t>
      </w:r>
      <w:r w:rsidR="00EB46B3" w:rsidRPr="00EB46B3">
        <w:t>Rodinn</w:t>
      </w:r>
      <w:r w:rsidR="00595AE1">
        <w:t>ým</w:t>
      </w:r>
      <w:r w:rsidR="00EB46B3" w:rsidRPr="00EB46B3">
        <w:t xml:space="preserve"> dom</w:t>
      </w:r>
      <w:r w:rsidR="00595AE1">
        <w:t>om</w:t>
      </w:r>
      <w:r w:rsidR="00EB46B3" w:rsidRPr="00EB46B3">
        <w:t xml:space="preserve"> </w:t>
      </w:r>
      <w:r w:rsidR="00EB46B3">
        <w:t>sa</w:t>
      </w:r>
      <w:r w:rsidR="00EB46B3" w:rsidRPr="00EB46B3">
        <w:t xml:space="preserve"> podľa zákona č. 50/1976 Zb. o územnom plánovaní a stavebnom poriadku </w:t>
      </w:r>
      <w:r w:rsidR="00595AE1">
        <w:t xml:space="preserve">(stavebný zákon) </w:t>
      </w:r>
      <w:r w:rsidR="00EB46B3">
        <w:t>označuje bytová budova s jedným až tromi bytmi</w:t>
      </w:r>
      <w:r w:rsidR="00EB46B3" w:rsidRPr="00EB46B3">
        <w:t>. Bytové budovy s väčším počtom bytov sa považujú za bytové domy</w:t>
      </w:r>
      <w:r w:rsidR="00EB46B3">
        <w:t>.</w:t>
      </w:r>
      <w:r w:rsidR="00595AE1">
        <w:t xml:space="preserve"> Z tohto dôvodu sa v štatistických údajoch pracuje s údajom „byty v rodinných domoch“. </w:t>
      </w:r>
    </w:p>
    <w:p w14:paraId="363E1409" w14:textId="5F64ED10" w:rsidR="002642C0" w:rsidRPr="00207C11" w:rsidRDefault="002642C0" w:rsidP="008D030C">
      <w:pPr>
        <w:rPr>
          <w:i/>
          <w:iCs/>
        </w:rPr>
      </w:pPr>
      <w:r w:rsidRPr="00207C11">
        <w:rPr>
          <w:i/>
          <w:iCs/>
        </w:rPr>
        <w:t>Tab</w:t>
      </w:r>
      <w:r w:rsidR="00207C11" w:rsidRPr="00207C11">
        <w:rPr>
          <w:i/>
          <w:iCs/>
        </w:rPr>
        <w:t>.</w:t>
      </w:r>
      <w:r w:rsidRPr="00207C11">
        <w:rPr>
          <w:i/>
          <w:iCs/>
        </w:rPr>
        <w:t xml:space="preserve"> </w:t>
      </w:r>
      <w:r w:rsidR="009D46B3">
        <w:rPr>
          <w:i/>
          <w:iCs/>
        </w:rPr>
        <w:t>3</w:t>
      </w:r>
      <w:r w:rsidR="009D40EF" w:rsidRPr="00207C11">
        <w:rPr>
          <w:i/>
          <w:iCs/>
        </w:rPr>
        <w:t>:</w:t>
      </w:r>
      <w:r w:rsidRPr="00207C11">
        <w:rPr>
          <w:i/>
          <w:iCs/>
        </w:rPr>
        <w:t xml:space="preserve"> Súhrnné údaje o</w:t>
      </w:r>
      <w:r w:rsidR="008D030C" w:rsidRPr="00207C11">
        <w:rPr>
          <w:i/>
          <w:iCs/>
        </w:rPr>
        <w:t xml:space="preserve"> rodinných </w:t>
      </w:r>
      <w:r w:rsidRPr="00207C11">
        <w:rPr>
          <w:i/>
          <w:iCs/>
        </w:rPr>
        <w:t xml:space="preserve">domoch a bytoch </w:t>
      </w:r>
      <w:r w:rsidR="008D030C" w:rsidRPr="00207C11">
        <w:rPr>
          <w:i/>
          <w:iCs/>
        </w:rPr>
        <w:t>(na základe</w:t>
      </w:r>
      <w:r w:rsidRPr="00207C11">
        <w:rPr>
          <w:i/>
          <w:iCs/>
        </w:rPr>
        <w:t xml:space="preserve"> SODB 2011</w:t>
      </w:r>
      <w:r w:rsidR="008D030C" w:rsidRPr="00207C11">
        <w:rPr>
          <w:i/>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226"/>
        <w:gridCol w:w="2108"/>
        <w:gridCol w:w="1974"/>
      </w:tblGrid>
      <w:tr w:rsidR="008D030C" w:rsidRPr="003E01D2" w14:paraId="23BDFDD3" w14:textId="77777777" w:rsidTr="008D030C">
        <w:tc>
          <w:tcPr>
            <w:tcW w:w="2633" w:type="dxa"/>
            <w:tcBorders>
              <w:top w:val="single" w:sz="12" w:space="0" w:color="auto"/>
              <w:left w:val="single" w:sz="12" w:space="0" w:color="auto"/>
              <w:bottom w:val="single" w:sz="12" w:space="0" w:color="auto"/>
              <w:right w:val="single" w:sz="12" w:space="0" w:color="auto"/>
            </w:tcBorders>
            <w:vAlign w:val="center"/>
          </w:tcPr>
          <w:p w14:paraId="06937F0E" w14:textId="77777777" w:rsidR="002642C0" w:rsidRPr="008D030C" w:rsidRDefault="002642C0" w:rsidP="008D030C">
            <w:pPr>
              <w:spacing w:before="60" w:after="60"/>
              <w:jc w:val="center"/>
              <w:rPr>
                <w:b/>
                <w:bCs/>
              </w:rPr>
            </w:pPr>
            <w:r w:rsidRPr="008D030C">
              <w:rPr>
                <w:b/>
                <w:bCs/>
              </w:rPr>
              <w:t>Popis</w:t>
            </w:r>
          </w:p>
        </w:tc>
        <w:tc>
          <w:tcPr>
            <w:tcW w:w="2232" w:type="dxa"/>
            <w:tcBorders>
              <w:top w:val="single" w:sz="12" w:space="0" w:color="auto"/>
              <w:left w:val="single" w:sz="12" w:space="0" w:color="auto"/>
              <w:bottom w:val="single" w:sz="12" w:space="0" w:color="auto"/>
            </w:tcBorders>
            <w:vAlign w:val="center"/>
          </w:tcPr>
          <w:p w14:paraId="637DF122" w14:textId="34D51266" w:rsidR="002642C0" w:rsidRPr="008D030C" w:rsidRDefault="00E33901" w:rsidP="008D030C">
            <w:pPr>
              <w:spacing w:before="60" w:after="60"/>
              <w:jc w:val="center"/>
              <w:rPr>
                <w:b/>
                <w:bCs/>
              </w:rPr>
            </w:pPr>
            <w:r w:rsidRPr="008D030C">
              <w:rPr>
                <w:b/>
                <w:bCs/>
              </w:rPr>
              <w:t>Rodinné domy</w:t>
            </w:r>
          </w:p>
        </w:tc>
        <w:tc>
          <w:tcPr>
            <w:tcW w:w="2112" w:type="dxa"/>
            <w:tcBorders>
              <w:top w:val="single" w:sz="12" w:space="0" w:color="auto"/>
              <w:bottom w:val="single" w:sz="12" w:space="0" w:color="auto"/>
            </w:tcBorders>
            <w:vAlign w:val="center"/>
          </w:tcPr>
          <w:p w14:paraId="71989644" w14:textId="6BD2DE83" w:rsidR="002642C0" w:rsidRPr="008D030C" w:rsidRDefault="00E33901" w:rsidP="008D030C">
            <w:pPr>
              <w:spacing w:before="60" w:after="60"/>
              <w:jc w:val="center"/>
              <w:rPr>
                <w:b/>
                <w:bCs/>
              </w:rPr>
            </w:pPr>
            <w:r w:rsidRPr="008D030C">
              <w:rPr>
                <w:b/>
                <w:bCs/>
              </w:rPr>
              <w:t>Byty v rodinných domoch</w:t>
            </w:r>
          </w:p>
        </w:tc>
        <w:tc>
          <w:tcPr>
            <w:tcW w:w="1977" w:type="dxa"/>
            <w:tcBorders>
              <w:top w:val="single" w:sz="12" w:space="0" w:color="auto"/>
              <w:bottom w:val="single" w:sz="12" w:space="0" w:color="auto"/>
              <w:right w:val="single" w:sz="12" w:space="0" w:color="auto"/>
            </w:tcBorders>
            <w:vAlign w:val="center"/>
          </w:tcPr>
          <w:p w14:paraId="05C9A4A5" w14:textId="4AE12F55" w:rsidR="002642C0" w:rsidRPr="008D030C" w:rsidRDefault="00E33901" w:rsidP="008D030C">
            <w:pPr>
              <w:spacing w:before="60" w:after="60"/>
              <w:jc w:val="center"/>
              <w:rPr>
                <w:b/>
                <w:bCs/>
              </w:rPr>
            </w:pPr>
            <w:r w:rsidRPr="008D030C">
              <w:rPr>
                <w:b/>
                <w:bCs/>
              </w:rPr>
              <w:t>Obývané byty v rodinných domoch</w:t>
            </w:r>
          </w:p>
        </w:tc>
      </w:tr>
      <w:tr w:rsidR="008D030C" w:rsidRPr="00E91592" w14:paraId="0BDB4D8F" w14:textId="77777777" w:rsidTr="008D030C">
        <w:trPr>
          <w:trHeight w:val="675"/>
        </w:trPr>
        <w:tc>
          <w:tcPr>
            <w:tcW w:w="2633" w:type="dxa"/>
            <w:tcBorders>
              <w:top w:val="single" w:sz="12" w:space="0" w:color="auto"/>
              <w:left w:val="single" w:sz="12" w:space="0" w:color="auto"/>
              <w:right w:val="single" w:sz="12" w:space="0" w:color="auto"/>
            </w:tcBorders>
            <w:vAlign w:val="center"/>
            <w:hideMark/>
          </w:tcPr>
          <w:p w14:paraId="4ABF3DC0" w14:textId="229E4ED5" w:rsidR="002642C0" w:rsidRPr="00E33901" w:rsidRDefault="00343374" w:rsidP="008D030C">
            <w:pPr>
              <w:spacing w:before="60" w:after="60"/>
              <w:jc w:val="center"/>
            </w:pPr>
            <w:r w:rsidRPr="00E33901">
              <w:t>SODB 2011</w:t>
            </w:r>
          </w:p>
        </w:tc>
        <w:tc>
          <w:tcPr>
            <w:tcW w:w="2232" w:type="dxa"/>
            <w:tcBorders>
              <w:top w:val="single" w:sz="12" w:space="0" w:color="auto"/>
              <w:left w:val="single" w:sz="12" w:space="0" w:color="auto"/>
            </w:tcBorders>
            <w:vAlign w:val="center"/>
            <w:hideMark/>
          </w:tcPr>
          <w:p w14:paraId="25B0CE23" w14:textId="77777777" w:rsidR="002642C0" w:rsidRPr="00E33901" w:rsidRDefault="002642C0" w:rsidP="008D030C">
            <w:pPr>
              <w:spacing w:before="60" w:after="60"/>
              <w:jc w:val="center"/>
            </w:pPr>
            <w:r w:rsidRPr="00E33901">
              <w:t>969 360</w:t>
            </w:r>
          </w:p>
        </w:tc>
        <w:tc>
          <w:tcPr>
            <w:tcW w:w="2112" w:type="dxa"/>
            <w:tcBorders>
              <w:top w:val="single" w:sz="12" w:space="0" w:color="auto"/>
            </w:tcBorders>
            <w:vAlign w:val="center"/>
          </w:tcPr>
          <w:p w14:paraId="0AE0D0F6" w14:textId="7335BE64" w:rsidR="002642C0" w:rsidRPr="00E33901" w:rsidRDefault="00CD16B3" w:rsidP="008D030C">
            <w:pPr>
              <w:spacing w:before="60" w:after="60"/>
              <w:jc w:val="center"/>
            </w:pPr>
            <w:r w:rsidRPr="00E33901">
              <w:t>1 008 795</w:t>
            </w:r>
          </w:p>
        </w:tc>
        <w:tc>
          <w:tcPr>
            <w:tcW w:w="1977" w:type="dxa"/>
            <w:tcBorders>
              <w:top w:val="single" w:sz="12" w:space="0" w:color="auto"/>
              <w:right w:val="single" w:sz="12" w:space="0" w:color="auto"/>
            </w:tcBorders>
            <w:vAlign w:val="center"/>
          </w:tcPr>
          <w:p w14:paraId="6DBD2257" w14:textId="58AFC19B" w:rsidR="002642C0" w:rsidRPr="00E33901" w:rsidRDefault="00CD16B3" w:rsidP="008D030C">
            <w:pPr>
              <w:spacing w:before="60" w:after="60"/>
              <w:jc w:val="center"/>
            </w:pPr>
            <w:r w:rsidRPr="00E33901">
              <w:t>856 147</w:t>
            </w:r>
          </w:p>
        </w:tc>
      </w:tr>
      <w:tr w:rsidR="008D030C" w:rsidRPr="00E91592" w14:paraId="608613F5" w14:textId="77777777" w:rsidTr="008D030C">
        <w:trPr>
          <w:trHeight w:val="640"/>
        </w:trPr>
        <w:tc>
          <w:tcPr>
            <w:tcW w:w="2633" w:type="dxa"/>
            <w:tcBorders>
              <w:left w:val="single" w:sz="12" w:space="0" w:color="auto"/>
              <w:right w:val="single" w:sz="12" w:space="0" w:color="auto"/>
            </w:tcBorders>
            <w:vAlign w:val="center"/>
            <w:hideMark/>
          </w:tcPr>
          <w:p w14:paraId="6004A30D" w14:textId="493894A1" w:rsidR="002642C0" w:rsidRPr="00E33901" w:rsidRDefault="00CD16B3" w:rsidP="008D030C">
            <w:pPr>
              <w:spacing w:before="60" w:after="60"/>
              <w:jc w:val="center"/>
            </w:pPr>
            <w:r w:rsidRPr="00E33901">
              <w:t>Obnova k 31.12.2018</w:t>
            </w:r>
          </w:p>
        </w:tc>
        <w:tc>
          <w:tcPr>
            <w:tcW w:w="2232" w:type="dxa"/>
            <w:tcBorders>
              <w:left w:val="single" w:sz="12" w:space="0" w:color="auto"/>
            </w:tcBorders>
            <w:vAlign w:val="center"/>
            <w:hideMark/>
          </w:tcPr>
          <w:p w14:paraId="2CF017B8" w14:textId="452557F1" w:rsidR="002642C0" w:rsidRPr="00E33901" w:rsidRDefault="008D030C" w:rsidP="008D030C">
            <w:pPr>
              <w:spacing w:before="60" w:after="60"/>
              <w:jc w:val="center"/>
            </w:pPr>
            <w:r>
              <w:t>X</w:t>
            </w:r>
          </w:p>
        </w:tc>
        <w:tc>
          <w:tcPr>
            <w:tcW w:w="2112" w:type="dxa"/>
            <w:vAlign w:val="center"/>
          </w:tcPr>
          <w:p w14:paraId="11CABA33" w14:textId="55629A65" w:rsidR="002642C0" w:rsidRPr="00E33901" w:rsidRDefault="00CD16B3" w:rsidP="008D030C">
            <w:pPr>
              <w:spacing w:before="60" w:after="60"/>
              <w:jc w:val="center"/>
            </w:pPr>
            <w:r w:rsidRPr="00E33901">
              <w:t>410 665</w:t>
            </w:r>
          </w:p>
        </w:tc>
        <w:tc>
          <w:tcPr>
            <w:tcW w:w="1977" w:type="dxa"/>
            <w:tcBorders>
              <w:right w:val="single" w:sz="12" w:space="0" w:color="auto"/>
            </w:tcBorders>
            <w:vAlign w:val="center"/>
          </w:tcPr>
          <w:p w14:paraId="2955ED87" w14:textId="7706586B" w:rsidR="002642C0" w:rsidRPr="00E33901" w:rsidRDefault="00CD16B3" w:rsidP="008D030C">
            <w:pPr>
              <w:spacing w:before="60" w:after="60"/>
              <w:jc w:val="center"/>
            </w:pPr>
            <w:r w:rsidRPr="00E33901">
              <w:t>410 665</w:t>
            </w:r>
          </w:p>
        </w:tc>
      </w:tr>
      <w:tr w:rsidR="008D030C" w:rsidRPr="00E91592" w14:paraId="67CEB99D" w14:textId="77777777" w:rsidTr="008D030C">
        <w:tc>
          <w:tcPr>
            <w:tcW w:w="2633" w:type="dxa"/>
            <w:tcBorders>
              <w:left w:val="single" w:sz="12" w:space="0" w:color="auto"/>
              <w:right w:val="single" w:sz="12" w:space="0" w:color="auto"/>
            </w:tcBorders>
            <w:vAlign w:val="center"/>
          </w:tcPr>
          <w:p w14:paraId="56037563" w14:textId="70C41343" w:rsidR="00343374" w:rsidRPr="00E33901" w:rsidRDefault="00343374" w:rsidP="008D030C">
            <w:pPr>
              <w:spacing w:before="60" w:after="60"/>
              <w:jc w:val="center"/>
            </w:pPr>
            <w:r w:rsidRPr="00E33901">
              <w:t xml:space="preserve">Podiel obnovy k 31.12.2018 </w:t>
            </w:r>
          </w:p>
        </w:tc>
        <w:tc>
          <w:tcPr>
            <w:tcW w:w="2232" w:type="dxa"/>
            <w:tcBorders>
              <w:left w:val="single" w:sz="12" w:space="0" w:color="auto"/>
            </w:tcBorders>
            <w:vAlign w:val="center"/>
          </w:tcPr>
          <w:p w14:paraId="5DBB2E8E" w14:textId="44AB8FC4" w:rsidR="00343374" w:rsidRPr="00E33901" w:rsidRDefault="008D030C" w:rsidP="008D030C">
            <w:pPr>
              <w:spacing w:before="60" w:after="60"/>
              <w:jc w:val="center"/>
            </w:pPr>
            <w:r>
              <w:t>X</w:t>
            </w:r>
          </w:p>
        </w:tc>
        <w:tc>
          <w:tcPr>
            <w:tcW w:w="2112" w:type="dxa"/>
            <w:vAlign w:val="center"/>
          </w:tcPr>
          <w:p w14:paraId="70F5E463" w14:textId="245FDE9F" w:rsidR="00343374" w:rsidRPr="00E33901" w:rsidRDefault="00343374" w:rsidP="008D030C">
            <w:pPr>
              <w:spacing w:before="60" w:after="60"/>
              <w:jc w:val="center"/>
            </w:pPr>
            <w:r w:rsidRPr="00E33901">
              <w:t>40,71</w:t>
            </w:r>
            <w:r w:rsidR="00E33901">
              <w:t xml:space="preserve"> %</w:t>
            </w:r>
          </w:p>
        </w:tc>
        <w:tc>
          <w:tcPr>
            <w:tcW w:w="1977" w:type="dxa"/>
            <w:tcBorders>
              <w:right w:val="single" w:sz="12" w:space="0" w:color="auto"/>
            </w:tcBorders>
            <w:vAlign w:val="center"/>
          </w:tcPr>
          <w:p w14:paraId="24478BE6" w14:textId="5CBB4161" w:rsidR="00343374" w:rsidRPr="00E33901" w:rsidRDefault="00343374" w:rsidP="008D030C">
            <w:pPr>
              <w:spacing w:before="60" w:after="60"/>
              <w:jc w:val="center"/>
            </w:pPr>
            <w:r w:rsidRPr="00E33901">
              <w:t>48,97</w:t>
            </w:r>
            <w:r w:rsidR="00E33901">
              <w:t xml:space="preserve"> %</w:t>
            </w:r>
          </w:p>
        </w:tc>
      </w:tr>
      <w:tr w:rsidR="008D030C" w:rsidRPr="00E91592" w14:paraId="7CE183B4" w14:textId="77777777" w:rsidTr="008D030C">
        <w:tc>
          <w:tcPr>
            <w:tcW w:w="2633" w:type="dxa"/>
            <w:tcBorders>
              <w:left w:val="single" w:sz="12" w:space="0" w:color="auto"/>
              <w:right w:val="single" w:sz="12" w:space="0" w:color="auto"/>
            </w:tcBorders>
            <w:vAlign w:val="center"/>
          </w:tcPr>
          <w:p w14:paraId="2ACCD71A" w14:textId="24565E6E" w:rsidR="00343374" w:rsidRPr="00E33901" w:rsidRDefault="00343374" w:rsidP="008D030C">
            <w:pPr>
              <w:spacing w:before="60" w:after="60"/>
              <w:jc w:val="center"/>
            </w:pPr>
            <w:r w:rsidRPr="00E33901">
              <w:t>Rozsah obnovy k 31.12. 2020</w:t>
            </w:r>
          </w:p>
        </w:tc>
        <w:tc>
          <w:tcPr>
            <w:tcW w:w="2232" w:type="dxa"/>
            <w:tcBorders>
              <w:left w:val="single" w:sz="12" w:space="0" w:color="auto"/>
            </w:tcBorders>
            <w:vAlign w:val="center"/>
          </w:tcPr>
          <w:p w14:paraId="0F64C169" w14:textId="04B73C88" w:rsidR="00343374" w:rsidRPr="00E33901" w:rsidRDefault="008D030C" w:rsidP="008D030C">
            <w:pPr>
              <w:spacing w:before="60" w:after="60"/>
              <w:jc w:val="center"/>
            </w:pPr>
            <w:r>
              <w:t>X</w:t>
            </w:r>
          </w:p>
        </w:tc>
        <w:tc>
          <w:tcPr>
            <w:tcW w:w="2112" w:type="dxa"/>
            <w:vAlign w:val="center"/>
          </w:tcPr>
          <w:p w14:paraId="275C9F21" w14:textId="0499D738" w:rsidR="00343374" w:rsidRPr="00E33901" w:rsidRDefault="008D030C" w:rsidP="008D030C">
            <w:pPr>
              <w:spacing w:before="60" w:after="60"/>
              <w:jc w:val="center"/>
            </w:pPr>
            <w:r>
              <w:t>X</w:t>
            </w:r>
          </w:p>
        </w:tc>
        <w:tc>
          <w:tcPr>
            <w:tcW w:w="1977" w:type="dxa"/>
            <w:tcBorders>
              <w:right w:val="single" w:sz="12" w:space="0" w:color="auto"/>
            </w:tcBorders>
            <w:vAlign w:val="center"/>
          </w:tcPr>
          <w:p w14:paraId="2751817E" w14:textId="472D5B04" w:rsidR="00343374" w:rsidRPr="00E33901" w:rsidRDefault="00343374" w:rsidP="008D030C">
            <w:pPr>
              <w:spacing w:before="60" w:after="60"/>
              <w:jc w:val="center"/>
            </w:pPr>
            <w:r w:rsidRPr="00E33901">
              <w:t>450 665</w:t>
            </w:r>
          </w:p>
        </w:tc>
      </w:tr>
      <w:tr w:rsidR="008D030C" w:rsidRPr="00E91592" w14:paraId="45FD85A5" w14:textId="77777777" w:rsidTr="008D030C">
        <w:tc>
          <w:tcPr>
            <w:tcW w:w="2633" w:type="dxa"/>
            <w:tcBorders>
              <w:left w:val="single" w:sz="12" w:space="0" w:color="auto"/>
              <w:right w:val="single" w:sz="12" w:space="0" w:color="auto"/>
            </w:tcBorders>
            <w:vAlign w:val="center"/>
          </w:tcPr>
          <w:p w14:paraId="481F598C" w14:textId="2C3FFEAB" w:rsidR="00343374" w:rsidRPr="00E33901" w:rsidRDefault="00343374" w:rsidP="008D030C">
            <w:pPr>
              <w:spacing w:before="60" w:after="60"/>
              <w:jc w:val="center"/>
            </w:pPr>
            <w:r w:rsidRPr="00E33901">
              <w:t xml:space="preserve">Podiel obnovy k 31.12.2020 </w:t>
            </w:r>
          </w:p>
        </w:tc>
        <w:tc>
          <w:tcPr>
            <w:tcW w:w="2232" w:type="dxa"/>
            <w:tcBorders>
              <w:left w:val="single" w:sz="12" w:space="0" w:color="auto"/>
            </w:tcBorders>
            <w:vAlign w:val="center"/>
          </w:tcPr>
          <w:p w14:paraId="75BB3C0E" w14:textId="1CE24075" w:rsidR="00343374" w:rsidRPr="00E33901" w:rsidRDefault="008D030C" w:rsidP="008D030C">
            <w:pPr>
              <w:spacing w:before="60" w:after="60"/>
              <w:jc w:val="center"/>
            </w:pPr>
            <w:r>
              <w:t>X</w:t>
            </w:r>
          </w:p>
        </w:tc>
        <w:tc>
          <w:tcPr>
            <w:tcW w:w="2112" w:type="dxa"/>
            <w:vAlign w:val="center"/>
          </w:tcPr>
          <w:p w14:paraId="2AFBCA04" w14:textId="2ECF9C6D" w:rsidR="00343374" w:rsidRPr="00E33901" w:rsidRDefault="008D030C" w:rsidP="008D030C">
            <w:pPr>
              <w:spacing w:before="60" w:after="60"/>
              <w:jc w:val="center"/>
            </w:pPr>
            <w:r>
              <w:t>X</w:t>
            </w:r>
          </w:p>
        </w:tc>
        <w:tc>
          <w:tcPr>
            <w:tcW w:w="1977" w:type="dxa"/>
            <w:tcBorders>
              <w:right w:val="single" w:sz="12" w:space="0" w:color="auto"/>
            </w:tcBorders>
            <w:vAlign w:val="center"/>
          </w:tcPr>
          <w:p w14:paraId="1881C8B5" w14:textId="16695AE2" w:rsidR="00343374" w:rsidRPr="00E33901" w:rsidRDefault="00343374" w:rsidP="008D030C">
            <w:pPr>
              <w:spacing w:before="60" w:after="60"/>
              <w:jc w:val="center"/>
            </w:pPr>
            <w:r w:rsidRPr="00E33901">
              <w:t>52,64</w:t>
            </w:r>
            <w:r w:rsidR="00E33901">
              <w:t xml:space="preserve"> %</w:t>
            </w:r>
          </w:p>
        </w:tc>
      </w:tr>
      <w:tr w:rsidR="008D030C" w:rsidRPr="00E91592" w14:paraId="39A73406" w14:textId="77777777" w:rsidTr="008D030C">
        <w:tc>
          <w:tcPr>
            <w:tcW w:w="2633" w:type="dxa"/>
            <w:tcBorders>
              <w:left w:val="single" w:sz="12" w:space="0" w:color="auto"/>
              <w:bottom w:val="single" w:sz="12" w:space="0" w:color="auto"/>
              <w:right w:val="single" w:sz="12" w:space="0" w:color="auto"/>
            </w:tcBorders>
            <w:vAlign w:val="center"/>
          </w:tcPr>
          <w:p w14:paraId="31FB0F82" w14:textId="74C1FDED" w:rsidR="00343374" w:rsidRPr="00E33901" w:rsidRDefault="00343374" w:rsidP="008D030C">
            <w:pPr>
              <w:spacing w:before="60" w:after="60"/>
              <w:jc w:val="center"/>
            </w:pPr>
            <w:r w:rsidRPr="00E33901">
              <w:t>Zostatok na roky 2021 až 2030</w:t>
            </w:r>
          </w:p>
        </w:tc>
        <w:tc>
          <w:tcPr>
            <w:tcW w:w="2232" w:type="dxa"/>
            <w:tcBorders>
              <w:left w:val="single" w:sz="12" w:space="0" w:color="auto"/>
              <w:bottom w:val="single" w:sz="12" w:space="0" w:color="auto"/>
            </w:tcBorders>
            <w:vAlign w:val="center"/>
          </w:tcPr>
          <w:p w14:paraId="078EC526" w14:textId="504F4C1C" w:rsidR="00343374" w:rsidRPr="00E33901" w:rsidRDefault="008D030C" w:rsidP="008D030C">
            <w:pPr>
              <w:spacing w:before="60" w:after="60"/>
              <w:jc w:val="center"/>
            </w:pPr>
            <w:r w:rsidRPr="008D030C">
              <w:rPr>
                <w:rFonts w:ascii="Arial" w:hAnsi="Arial" w:cs="Arial"/>
                <w:sz w:val="21"/>
                <w:szCs w:val="21"/>
                <w:shd w:val="clear" w:color="auto" w:fill="FFFFFF"/>
              </w:rPr>
              <w:t xml:space="preserve">~ </w:t>
            </w:r>
            <w:r w:rsidRPr="008D030C">
              <w:t>390</w:t>
            </w:r>
            <w:r>
              <w:t> </w:t>
            </w:r>
            <w:r w:rsidRPr="008D030C">
              <w:t>000</w:t>
            </w:r>
            <w:r>
              <w:t xml:space="preserve"> (odhad)</w:t>
            </w:r>
            <w:r w:rsidR="00EB3D3D">
              <w:t>*</w:t>
            </w:r>
          </w:p>
        </w:tc>
        <w:tc>
          <w:tcPr>
            <w:tcW w:w="2112" w:type="dxa"/>
            <w:tcBorders>
              <w:bottom w:val="single" w:sz="12" w:space="0" w:color="auto"/>
            </w:tcBorders>
            <w:vAlign w:val="center"/>
          </w:tcPr>
          <w:p w14:paraId="0B2DEAE5" w14:textId="6DB0C5DB" w:rsidR="00343374" w:rsidRPr="00E33901" w:rsidRDefault="008D030C" w:rsidP="008D030C">
            <w:pPr>
              <w:spacing w:before="60" w:after="60"/>
              <w:jc w:val="center"/>
            </w:pPr>
            <w:r>
              <w:t>X</w:t>
            </w:r>
          </w:p>
        </w:tc>
        <w:tc>
          <w:tcPr>
            <w:tcW w:w="1977" w:type="dxa"/>
            <w:tcBorders>
              <w:bottom w:val="single" w:sz="12" w:space="0" w:color="auto"/>
              <w:right w:val="single" w:sz="12" w:space="0" w:color="auto"/>
            </w:tcBorders>
            <w:vAlign w:val="center"/>
          </w:tcPr>
          <w:p w14:paraId="7B990D7B" w14:textId="0E48DF71" w:rsidR="00343374" w:rsidRPr="00E33901" w:rsidRDefault="00343374" w:rsidP="008D030C">
            <w:pPr>
              <w:spacing w:before="60" w:after="60"/>
              <w:jc w:val="center"/>
            </w:pPr>
            <w:r w:rsidRPr="00E33901">
              <w:t>405 482</w:t>
            </w:r>
          </w:p>
        </w:tc>
      </w:tr>
    </w:tbl>
    <w:p w14:paraId="12B87586" w14:textId="0D27B055" w:rsidR="002642C0" w:rsidRDefault="002642C0" w:rsidP="008D030C">
      <w:r w:rsidRPr="008D030C">
        <w:t xml:space="preserve">  Zdroj: SODB 2011, ŠÚ SR</w:t>
      </w:r>
      <w:r w:rsidR="008D030C" w:rsidRPr="008D030C">
        <w:t xml:space="preserve">, MDV SR (vlastná úprava) </w:t>
      </w:r>
      <w:r w:rsidRPr="008D030C">
        <w:t xml:space="preserve"> </w:t>
      </w:r>
    </w:p>
    <w:p w14:paraId="46A45E68" w14:textId="7A8EC87B" w:rsidR="00EB3D3D" w:rsidRPr="008D030C" w:rsidRDefault="00EB3D3D" w:rsidP="008D030C">
      <w:r>
        <w:t>*odhadovaný počet obývaných (doposiaľ neobnovených) rodinných domov</w:t>
      </w:r>
      <w:r w:rsidR="005C2C92">
        <w:t xml:space="preserve">. </w:t>
      </w:r>
    </w:p>
    <w:p w14:paraId="619621B7" w14:textId="25445E1C" w:rsidR="004E1ED8" w:rsidRDefault="004E1ED8" w:rsidP="004E1ED8">
      <w:pPr>
        <w:spacing w:before="60" w:after="60"/>
      </w:pPr>
    </w:p>
    <w:p w14:paraId="64677FA4" w14:textId="3FAAAD68" w:rsidR="00551B87" w:rsidRPr="00207C11" w:rsidRDefault="00E47E8E" w:rsidP="00E47E8E">
      <w:pPr>
        <w:rPr>
          <w:i/>
          <w:iCs/>
        </w:rPr>
      </w:pPr>
      <w:r w:rsidRPr="00207C11">
        <w:rPr>
          <w:i/>
          <w:iCs/>
        </w:rPr>
        <w:t>Graf 1: Počty bytov v rodinných domoch podľa roku výstavby</w:t>
      </w:r>
    </w:p>
    <w:p w14:paraId="12E65E4D" w14:textId="11CB348B" w:rsidR="00811A54" w:rsidRDefault="00811A54" w:rsidP="00E47E8E">
      <w:r w:rsidRPr="00E47E8E">
        <w:rPr>
          <w:noProof/>
        </w:rPr>
        <w:drawing>
          <wp:anchor distT="0" distB="0" distL="114300" distR="114300" simplePos="0" relativeHeight="251660288" behindDoc="0" locked="0" layoutInCell="1" allowOverlap="1" wp14:anchorId="751E88C7" wp14:editId="6F3054EB">
            <wp:simplePos x="0" y="0"/>
            <wp:positionH relativeFrom="column">
              <wp:posOffset>312124</wp:posOffset>
            </wp:positionH>
            <wp:positionV relativeFrom="paragraph">
              <wp:posOffset>44126</wp:posOffset>
            </wp:positionV>
            <wp:extent cx="5358765" cy="2921635"/>
            <wp:effectExtent l="0" t="0" r="13335" b="12065"/>
            <wp:wrapNone/>
            <wp:docPr id="1" name="Graf 1">
              <a:extLst xmlns:a="http://schemas.openxmlformats.org/drawingml/2006/main">
                <a:ext uri="{FF2B5EF4-FFF2-40B4-BE49-F238E27FC236}">
                  <a16:creationId xmlns:a16="http://schemas.microsoft.com/office/drawing/2014/main" id="{2005C5F3-CD0E-4A27-BBC1-903EB6A23C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14:paraId="17D2C95E" w14:textId="06C6CDD0" w:rsidR="00811A54" w:rsidRDefault="00811A54" w:rsidP="00E47E8E"/>
    <w:p w14:paraId="38021D24" w14:textId="5E79D71B" w:rsidR="00811A54" w:rsidRDefault="00811A54" w:rsidP="00E47E8E"/>
    <w:p w14:paraId="52C88C06" w14:textId="72B0A89B" w:rsidR="00811A54" w:rsidRDefault="00811A54" w:rsidP="00E47E8E"/>
    <w:p w14:paraId="7E4127C2" w14:textId="77777777" w:rsidR="00811A54" w:rsidRPr="00E47E8E" w:rsidRDefault="00811A54" w:rsidP="00E47E8E"/>
    <w:p w14:paraId="513D673D" w14:textId="3D1D2C0F" w:rsidR="00551B87" w:rsidRDefault="00551B87" w:rsidP="00E47E8E"/>
    <w:p w14:paraId="2330069B" w14:textId="047A22E8" w:rsidR="00811A54" w:rsidRDefault="00811A54" w:rsidP="00E47E8E"/>
    <w:p w14:paraId="5C99D367" w14:textId="14500E4E" w:rsidR="00811A54" w:rsidRDefault="00811A54" w:rsidP="00E47E8E"/>
    <w:p w14:paraId="5E4191CA" w14:textId="1482C8DA" w:rsidR="00811A54" w:rsidRDefault="00811A54" w:rsidP="00E47E8E"/>
    <w:p w14:paraId="78601E32" w14:textId="1A735D8D" w:rsidR="00811A54" w:rsidRDefault="00811A54" w:rsidP="00E47E8E"/>
    <w:p w14:paraId="56D8A796" w14:textId="77777777" w:rsidR="00811A54" w:rsidRPr="00E47E8E" w:rsidRDefault="00811A54" w:rsidP="00E47E8E"/>
    <w:p w14:paraId="2CF936EF" w14:textId="57007915" w:rsidR="00551B87" w:rsidRPr="00E47E8E" w:rsidRDefault="001A055E" w:rsidP="00E47E8E">
      <w:r w:rsidRPr="00E47E8E">
        <w:t>zdroj</w:t>
      </w:r>
      <w:r w:rsidR="00E47E8E" w:rsidRPr="00E47E8E">
        <w:t xml:space="preserve">: </w:t>
      </w:r>
      <w:r w:rsidR="00837DE3" w:rsidRPr="00E47E8E">
        <w:t>ŠÚ SR</w:t>
      </w:r>
      <w:r w:rsidR="00E47E8E" w:rsidRPr="00E47E8E">
        <w:t xml:space="preserve"> a MDV SR</w:t>
      </w:r>
      <w:r w:rsidR="00837DE3" w:rsidRPr="00E47E8E">
        <w:t xml:space="preserve"> (vlastná úprava)</w:t>
      </w:r>
    </w:p>
    <w:p w14:paraId="7F86C230" w14:textId="2A814D21" w:rsidR="0057327C" w:rsidRDefault="0057327C" w:rsidP="0057327C">
      <w:pPr>
        <w:pStyle w:val="Nadpis2"/>
        <w:numPr>
          <w:ilvl w:val="1"/>
          <w:numId w:val="14"/>
        </w:numPr>
        <w:ind w:left="357" w:hanging="357"/>
      </w:pPr>
      <w:bookmarkStart w:id="3" w:name="_Toc62576762"/>
      <w:r>
        <w:lastRenderedPageBreak/>
        <w:t>Technický p</w:t>
      </w:r>
      <w:r w:rsidR="00595AE1">
        <w:t xml:space="preserve">ohľad na </w:t>
      </w:r>
      <w:r>
        <w:t xml:space="preserve">fond </w:t>
      </w:r>
      <w:r w:rsidR="00595AE1">
        <w:t>rodinných domov v SR</w:t>
      </w:r>
      <w:bookmarkEnd w:id="3"/>
      <w:r>
        <w:t xml:space="preserve"> </w:t>
      </w:r>
    </w:p>
    <w:p w14:paraId="69D003CE" w14:textId="289856CD" w:rsidR="0057327C" w:rsidRPr="007B3382" w:rsidRDefault="0057327C" w:rsidP="007B3382">
      <w:pPr>
        <w:spacing w:line="276" w:lineRule="auto"/>
        <w:jc w:val="both"/>
      </w:pPr>
      <w:r w:rsidRPr="007B3382">
        <w:t>Takmer 68 % rodinných domov, ktoré v súčasnosti stoja na Slovensku bolo postavených pred rokom 1980. Ich vek teda dosahuje častokrát viac ako 40 rokov. Tento fakt je dôležitý hlavne z </w:t>
      </w:r>
      <w:r w:rsidR="007B3382" w:rsidRPr="007B3382">
        <w:t xml:space="preserve">toho </w:t>
      </w:r>
      <w:r w:rsidRPr="007B3382">
        <w:t>hľadiska, že výstavba uskutočnená do roku 1983 (vrátane) dosahovala veľmi nízke tepelnotechnické vlastnosti vyplývajúce z </w:t>
      </w:r>
      <w:r w:rsidR="007B3382" w:rsidRPr="007B3382">
        <w:t>daných</w:t>
      </w:r>
      <w:r w:rsidRPr="007B3382">
        <w:t xml:space="preserve"> požiadaviek a obmedzených technologických možností výstavby [6].</w:t>
      </w:r>
    </w:p>
    <w:p w14:paraId="1FBD4571" w14:textId="7746C418" w:rsidR="007B3382" w:rsidRPr="007B3382" w:rsidRDefault="007B3382" w:rsidP="007B3382">
      <w:pPr>
        <w:spacing w:line="276" w:lineRule="auto"/>
        <w:jc w:val="both"/>
      </w:pPr>
      <w:r w:rsidRPr="007B3382">
        <w:t>Na konci</w:t>
      </w:r>
      <w:r w:rsidR="00A72C8F" w:rsidRPr="007B3382">
        <w:t xml:space="preserve"> deväťdesiatych rokov minulého storočia </w:t>
      </w:r>
      <w:r w:rsidRPr="007B3382">
        <w:t>sa začal formovať názor,</w:t>
      </w:r>
      <w:r w:rsidR="00A72C8F" w:rsidRPr="007B3382">
        <w:t xml:space="preserve"> že spoločným znakom budov postavených v </w:t>
      </w:r>
      <w:r w:rsidRPr="007B3382">
        <w:t>SR</w:t>
      </w:r>
      <w:r w:rsidR="00A72C8F" w:rsidRPr="007B3382">
        <w:t xml:space="preserve"> </w:t>
      </w:r>
      <w:r w:rsidRPr="007B3382">
        <w:t>(</w:t>
      </w:r>
      <w:r w:rsidR="00A72C8F" w:rsidRPr="007B3382">
        <w:t>najmä v rokoch 1960 až 1992</w:t>
      </w:r>
      <w:r w:rsidRPr="007B3382">
        <w:t>)</w:t>
      </w:r>
      <w:r w:rsidR="00A72C8F" w:rsidRPr="007B3382">
        <w:t xml:space="preserve"> hromadnými formami výstavby je nedostatočná tepelná ochrana stavebných konštrukcií a vysoká opotrebovanosť technického zariadenia budov, ktoré je potrebné urýchlene vymeniť za </w:t>
      </w:r>
      <w:r w:rsidRPr="007B3382">
        <w:t>materiály a technológie spĺňajúce požadovaný štandard. [6]</w:t>
      </w:r>
    </w:p>
    <w:p w14:paraId="79653636" w14:textId="5A22985F" w:rsidR="007B3382" w:rsidRDefault="00EB46B3" w:rsidP="00EB46B3">
      <w:pPr>
        <w:spacing w:line="276" w:lineRule="auto"/>
        <w:jc w:val="both"/>
        <w:rPr>
          <w:rFonts w:ascii="Times New Roman" w:hAnsi="Times New Roman"/>
          <w:sz w:val="24"/>
          <w:szCs w:val="24"/>
        </w:rPr>
      </w:pPr>
      <w:r w:rsidRPr="00EB46B3">
        <w:t>Na Slovensku nie</w:t>
      </w:r>
      <w:r w:rsidR="009D40EF" w:rsidRPr="00EB46B3">
        <w:t xml:space="preserve"> sú k dispozícii žiadne podrobné údaje o spotrebe energie existujúcich rodinných domov. Z dostupných hodnotení </w:t>
      </w:r>
      <w:r>
        <w:t>však MDV SR</w:t>
      </w:r>
      <w:r w:rsidR="009D40EF" w:rsidRPr="00EB46B3">
        <w:t xml:space="preserve"> </w:t>
      </w:r>
      <w:r>
        <w:t>predpokladá, že</w:t>
      </w:r>
      <w:r w:rsidR="009D40EF" w:rsidRPr="00EB46B3">
        <w:t xml:space="preserve"> priemern</w:t>
      </w:r>
      <w:r>
        <w:t>á</w:t>
      </w:r>
      <w:r w:rsidR="009D40EF" w:rsidRPr="00EB46B3">
        <w:t xml:space="preserve"> ročn</w:t>
      </w:r>
      <w:r>
        <w:t>á</w:t>
      </w:r>
      <w:r w:rsidR="009D40EF" w:rsidRPr="00EB46B3">
        <w:t xml:space="preserve"> spotreb</w:t>
      </w:r>
      <w:r>
        <w:t>a</w:t>
      </w:r>
      <w:r w:rsidR="009D40EF" w:rsidRPr="00EB46B3">
        <w:t xml:space="preserve"> energie na vykurovanie </w:t>
      </w:r>
      <w:r>
        <w:t xml:space="preserve">sa pohybuje na úrovni </w:t>
      </w:r>
      <w:r w:rsidR="009D40EF" w:rsidRPr="00EB46B3">
        <w:t>165 kWh/(m</w:t>
      </w:r>
      <w:r w:rsidR="009D40EF" w:rsidRPr="00EB46B3">
        <w:rPr>
          <w:vertAlign w:val="superscript"/>
        </w:rPr>
        <w:t>2</w:t>
      </w:r>
      <w:r w:rsidR="009D40EF" w:rsidRPr="00EB46B3">
        <w:t>.a)</w:t>
      </w:r>
      <w:r>
        <w:t xml:space="preserve"> [6]</w:t>
      </w:r>
      <w:r w:rsidR="009D40EF" w:rsidRPr="00EB46B3">
        <w:t xml:space="preserve">. </w:t>
      </w:r>
      <w:r>
        <w:t xml:space="preserve">Je nutné taktiež podotknúť, že </w:t>
      </w:r>
      <w:r w:rsidR="009D40EF" w:rsidRPr="00EB46B3">
        <w:t>sa</w:t>
      </w:r>
      <w:r w:rsidRPr="00EB46B3">
        <w:t xml:space="preserve"> </w:t>
      </w:r>
      <w:r>
        <w:t>č</w:t>
      </w:r>
      <w:r w:rsidRPr="00EB46B3">
        <w:t xml:space="preserve">asto </w:t>
      </w:r>
      <w:r w:rsidR="009D40EF" w:rsidRPr="00EB46B3">
        <w:t>všetky miestnosti rodinného domu nevykurujú, takže skutočná spotreba energie je nižšia.</w:t>
      </w:r>
      <w:r>
        <w:t xml:space="preserve"> V porovnaní s bytmi v bytových domoch majú  rodinné domy všeobecne vyššiu potrebu na vykurovanie </w:t>
      </w:r>
      <w:r w:rsidR="007B3382" w:rsidRPr="00EB46B3">
        <w:t>vplyvom veľkej výmery obalových konštrukcií v porovnaní s obostavaným objemom (faktor tvaru).</w:t>
      </w:r>
      <w:r w:rsidR="007B3382" w:rsidRPr="00E91592">
        <w:rPr>
          <w:rFonts w:ascii="Times New Roman" w:hAnsi="Times New Roman"/>
          <w:sz w:val="24"/>
          <w:szCs w:val="24"/>
        </w:rPr>
        <w:t xml:space="preserve"> </w:t>
      </w:r>
    </w:p>
    <w:p w14:paraId="6F20A7C8" w14:textId="040322E3" w:rsidR="00FB3162" w:rsidRPr="00207C11" w:rsidRDefault="00FB3162" w:rsidP="00FB3162">
      <w:pPr>
        <w:spacing w:before="60" w:after="60" w:line="240" w:lineRule="auto"/>
        <w:rPr>
          <w:rFonts w:cstheme="minorHAnsi"/>
          <w:i/>
          <w:iCs/>
          <w:lang w:eastAsia="cs-CZ"/>
        </w:rPr>
      </w:pPr>
      <w:r w:rsidRPr="00207C11">
        <w:rPr>
          <w:rFonts w:cstheme="minorHAnsi"/>
          <w:i/>
          <w:iCs/>
          <w:lang w:eastAsia="cs-CZ"/>
        </w:rPr>
        <w:t>Tab</w:t>
      </w:r>
      <w:r w:rsidR="00207C11" w:rsidRPr="00207C11">
        <w:rPr>
          <w:rFonts w:cstheme="minorHAnsi"/>
          <w:i/>
          <w:iCs/>
          <w:lang w:eastAsia="cs-CZ"/>
        </w:rPr>
        <w:t>.</w:t>
      </w:r>
      <w:r w:rsidR="009D46B3">
        <w:rPr>
          <w:rFonts w:cstheme="minorHAnsi"/>
          <w:i/>
          <w:iCs/>
          <w:lang w:eastAsia="cs-CZ"/>
        </w:rPr>
        <w:t xml:space="preserve"> 4</w:t>
      </w:r>
      <w:r w:rsidRPr="00207C11">
        <w:rPr>
          <w:rFonts w:cstheme="minorHAnsi"/>
          <w:i/>
          <w:iCs/>
          <w:lang w:eastAsia="cs-CZ"/>
        </w:rPr>
        <w:t>: Priemerné hodnoty geometrických údajov o rodinných domoch</w:t>
      </w:r>
    </w:p>
    <w:tbl>
      <w:tblPr>
        <w:tblW w:w="9092"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14"/>
        <w:gridCol w:w="911"/>
        <w:gridCol w:w="911"/>
        <w:gridCol w:w="911"/>
        <w:gridCol w:w="911"/>
        <w:gridCol w:w="911"/>
        <w:gridCol w:w="911"/>
        <w:gridCol w:w="912"/>
      </w:tblGrid>
      <w:tr w:rsidR="00FB3162" w:rsidRPr="00FB3162" w14:paraId="3327E079" w14:textId="77777777" w:rsidTr="005D1FD2">
        <w:trPr>
          <w:trHeight w:val="915"/>
        </w:trPr>
        <w:tc>
          <w:tcPr>
            <w:tcW w:w="2714" w:type="dxa"/>
            <w:vMerge w:val="restart"/>
            <w:tcBorders>
              <w:top w:val="single" w:sz="12" w:space="0" w:color="auto"/>
              <w:left w:val="single" w:sz="12" w:space="0" w:color="auto"/>
              <w:right w:val="single" w:sz="12" w:space="0" w:color="auto"/>
            </w:tcBorders>
            <w:vAlign w:val="center"/>
            <w:hideMark/>
          </w:tcPr>
          <w:p w14:paraId="52D19B9E"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Podkategória</w:t>
            </w:r>
          </w:p>
        </w:tc>
        <w:tc>
          <w:tcPr>
            <w:tcW w:w="911" w:type="dxa"/>
            <w:tcBorders>
              <w:top w:val="single" w:sz="12" w:space="0" w:color="auto"/>
              <w:left w:val="single" w:sz="12" w:space="0" w:color="auto"/>
            </w:tcBorders>
            <w:vAlign w:val="center"/>
            <w:hideMark/>
          </w:tcPr>
          <w:p w14:paraId="4E4BCEE5"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Faktor tvaru</w:t>
            </w:r>
          </w:p>
          <w:p w14:paraId="4D4D0081" w14:textId="77777777" w:rsidR="00FB3162" w:rsidRPr="00FB3162" w:rsidRDefault="00FB3162" w:rsidP="00FB3162">
            <w:pPr>
              <w:spacing w:before="60" w:after="60" w:line="240" w:lineRule="auto"/>
              <w:jc w:val="center"/>
              <w:rPr>
                <w:rFonts w:cstheme="minorHAnsi"/>
                <w:b/>
                <w:lang w:eastAsia="sk-SK"/>
              </w:rPr>
            </w:pPr>
          </w:p>
        </w:tc>
        <w:tc>
          <w:tcPr>
            <w:tcW w:w="911" w:type="dxa"/>
            <w:tcBorders>
              <w:top w:val="single" w:sz="12" w:space="0" w:color="auto"/>
            </w:tcBorders>
            <w:vAlign w:val="center"/>
            <w:hideMark/>
          </w:tcPr>
          <w:p w14:paraId="1E19427C"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Obo-stavaný objem</w:t>
            </w:r>
          </w:p>
        </w:tc>
        <w:tc>
          <w:tcPr>
            <w:tcW w:w="911" w:type="dxa"/>
            <w:tcBorders>
              <w:top w:val="single" w:sz="12" w:space="0" w:color="auto"/>
            </w:tcBorders>
            <w:vAlign w:val="center"/>
            <w:hideMark/>
          </w:tcPr>
          <w:p w14:paraId="4A185EEC"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Celková podla-hová plocha</w:t>
            </w:r>
          </w:p>
        </w:tc>
        <w:tc>
          <w:tcPr>
            <w:tcW w:w="911" w:type="dxa"/>
            <w:tcBorders>
              <w:top w:val="single" w:sz="12" w:space="0" w:color="auto"/>
            </w:tcBorders>
            <w:vAlign w:val="center"/>
            <w:hideMark/>
          </w:tcPr>
          <w:p w14:paraId="23FE4F57"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Plocha obalu</w:t>
            </w:r>
          </w:p>
        </w:tc>
        <w:tc>
          <w:tcPr>
            <w:tcW w:w="911" w:type="dxa"/>
            <w:tcBorders>
              <w:top w:val="single" w:sz="12" w:space="0" w:color="auto"/>
            </w:tcBorders>
            <w:vAlign w:val="center"/>
            <w:hideMark/>
          </w:tcPr>
          <w:p w14:paraId="6E367AA5"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Plocha okien</w:t>
            </w:r>
          </w:p>
        </w:tc>
        <w:tc>
          <w:tcPr>
            <w:tcW w:w="911" w:type="dxa"/>
            <w:tcBorders>
              <w:top w:val="single" w:sz="12" w:space="0" w:color="auto"/>
            </w:tcBorders>
            <w:vAlign w:val="center"/>
            <w:hideMark/>
          </w:tcPr>
          <w:p w14:paraId="3B0BF511"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Plocha obvod. plášťa</w:t>
            </w:r>
          </w:p>
        </w:tc>
        <w:tc>
          <w:tcPr>
            <w:tcW w:w="912" w:type="dxa"/>
            <w:tcBorders>
              <w:top w:val="single" w:sz="12" w:space="0" w:color="auto"/>
              <w:right w:val="single" w:sz="12" w:space="0" w:color="auto"/>
            </w:tcBorders>
            <w:vAlign w:val="center"/>
            <w:hideMark/>
          </w:tcPr>
          <w:p w14:paraId="54C56105" w14:textId="77777777" w:rsidR="00FB3162" w:rsidRPr="00FB3162" w:rsidRDefault="00FB3162" w:rsidP="00FB3162">
            <w:pPr>
              <w:spacing w:before="60" w:after="60" w:line="240" w:lineRule="auto"/>
              <w:jc w:val="center"/>
              <w:rPr>
                <w:rFonts w:cstheme="minorHAnsi"/>
                <w:b/>
                <w:lang w:eastAsia="sk-SK"/>
              </w:rPr>
            </w:pPr>
            <w:r w:rsidRPr="00FB3162">
              <w:rPr>
                <w:rFonts w:cstheme="minorHAnsi"/>
                <w:b/>
                <w:lang w:eastAsia="sk-SK"/>
              </w:rPr>
              <w:t>Plocha strechy</w:t>
            </w:r>
          </w:p>
        </w:tc>
      </w:tr>
      <w:tr w:rsidR="00FB3162" w:rsidRPr="00FB3162" w14:paraId="55F935B9" w14:textId="77777777" w:rsidTr="005D1FD2">
        <w:trPr>
          <w:trHeight w:val="255"/>
        </w:trPr>
        <w:tc>
          <w:tcPr>
            <w:tcW w:w="2714" w:type="dxa"/>
            <w:vMerge/>
            <w:tcBorders>
              <w:left w:val="single" w:sz="12" w:space="0" w:color="auto"/>
              <w:bottom w:val="single" w:sz="12" w:space="0" w:color="auto"/>
              <w:right w:val="single" w:sz="12" w:space="0" w:color="auto"/>
            </w:tcBorders>
            <w:noWrap/>
          </w:tcPr>
          <w:p w14:paraId="1BDB4BC4" w14:textId="77777777" w:rsidR="00FB3162" w:rsidRPr="00FB3162" w:rsidRDefault="00FB3162" w:rsidP="00FB3162">
            <w:pPr>
              <w:spacing w:before="60" w:after="60" w:line="240" w:lineRule="auto"/>
              <w:rPr>
                <w:rFonts w:cstheme="minorHAnsi"/>
                <w:lang w:eastAsia="cs-CZ"/>
              </w:rPr>
            </w:pPr>
          </w:p>
        </w:tc>
        <w:tc>
          <w:tcPr>
            <w:tcW w:w="911" w:type="dxa"/>
            <w:tcBorders>
              <w:left w:val="single" w:sz="12" w:space="0" w:color="auto"/>
              <w:bottom w:val="single" w:sz="12" w:space="0" w:color="auto"/>
            </w:tcBorders>
            <w:noWrap/>
            <w:vAlign w:val="bottom"/>
          </w:tcPr>
          <w:p w14:paraId="46F64E75"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1/m</w:t>
            </w:r>
          </w:p>
        </w:tc>
        <w:tc>
          <w:tcPr>
            <w:tcW w:w="911" w:type="dxa"/>
            <w:tcBorders>
              <w:bottom w:val="single" w:sz="12" w:space="0" w:color="auto"/>
            </w:tcBorders>
            <w:noWrap/>
            <w:vAlign w:val="bottom"/>
          </w:tcPr>
          <w:p w14:paraId="722CB771"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m</w:t>
            </w:r>
            <w:r w:rsidRPr="00FB3162">
              <w:rPr>
                <w:rFonts w:cstheme="minorHAnsi"/>
                <w:vertAlign w:val="superscript"/>
                <w:lang w:eastAsia="sk-SK"/>
              </w:rPr>
              <w:t>3</w:t>
            </w:r>
          </w:p>
        </w:tc>
        <w:tc>
          <w:tcPr>
            <w:tcW w:w="911" w:type="dxa"/>
            <w:tcBorders>
              <w:bottom w:val="single" w:sz="12" w:space="0" w:color="auto"/>
            </w:tcBorders>
            <w:noWrap/>
            <w:vAlign w:val="bottom"/>
          </w:tcPr>
          <w:p w14:paraId="38865B31"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m</w:t>
            </w:r>
            <w:r w:rsidRPr="00FB3162">
              <w:rPr>
                <w:rFonts w:cstheme="minorHAnsi"/>
                <w:vertAlign w:val="superscript"/>
                <w:lang w:eastAsia="sk-SK"/>
              </w:rPr>
              <w:t>2</w:t>
            </w:r>
          </w:p>
        </w:tc>
        <w:tc>
          <w:tcPr>
            <w:tcW w:w="911" w:type="dxa"/>
            <w:tcBorders>
              <w:bottom w:val="single" w:sz="12" w:space="0" w:color="auto"/>
            </w:tcBorders>
            <w:noWrap/>
            <w:vAlign w:val="bottom"/>
          </w:tcPr>
          <w:p w14:paraId="15654B6F"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m</w:t>
            </w:r>
            <w:r w:rsidRPr="00FB3162">
              <w:rPr>
                <w:rFonts w:cstheme="minorHAnsi"/>
                <w:vertAlign w:val="superscript"/>
                <w:lang w:eastAsia="sk-SK"/>
              </w:rPr>
              <w:t>2</w:t>
            </w:r>
          </w:p>
        </w:tc>
        <w:tc>
          <w:tcPr>
            <w:tcW w:w="911" w:type="dxa"/>
            <w:tcBorders>
              <w:bottom w:val="single" w:sz="12" w:space="0" w:color="auto"/>
            </w:tcBorders>
            <w:noWrap/>
            <w:vAlign w:val="bottom"/>
          </w:tcPr>
          <w:p w14:paraId="6A0B92A0"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m</w:t>
            </w:r>
            <w:r w:rsidRPr="00FB3162">
              <w:rPr>
                <w:rFonts w:cstheme="minorHAnsi"/>
                <w:vertAlign w:val="superscript"/>
                <w:lang w:eastAsia="sk-SK"/>
              </w:rPr>
              <w:t>2</w:t>
            </w:r>
          </w:p>
        </w:tc>
        <w:tc>
          <w:tcPr>
            <w:tcW w:w="911" w:type="dxa"/>
            <w:tcBorders>
              <w:bottom w:val="single" w:sz="12" w:space="0" w:color="auto"/>
            </w:tcBorders>
            <w:noWrap/>
            <w:vAlign w:val="bottom"/>
          </w:tcPr>
          <w:p w14:paraId="5904F1E5"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m</w:t>
            </w:r>
            <w:r w:rsidRPr="00FB3162">
              <w:rPr>
                <w:rFonts w:cstheme="minorHAnsi"/>
                <w:vertAlign w:val="superscript"/>
                <w:lang w:eastAsia="sk-SK"/>
              </w:rPr>
              <w:t>2</w:t>
            </w:r>
          </w:p>
        </w:tc>
        <w:tc>
          <w:tcPr>
            <w:tcW w:w="912" w:type="dxa"/>
            <w:tcBorders>
              <w:bottom w:val="single" w:sz="12" w:space="0" w:color="auto"/>
              <w:right w:val="single" w:sz="12" w:space="0" w:color="auto"/>
            </w:tcBorders>
            <w:noWrap/>
            <w:vAlign w:val="bottom"/>
          </w:tcPr>
          <w:p w14:paraId="2DC0BC01"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m</w:t>
            </w:r>
            <w:r w:rsidRPr="00FB3162">
              <w:rPr>
                <w:rFonts w:cstheme="minorHAnsi"/>
                <w:vertAlign w:val="superscript"/>
                <w:lang w:eastAsia="sk-SK"/>
              </w:rPr>
              <w:t>2</w:t>
            </w:r>
          </w:p>
        </w:tc>
      </w:tr>
      <w:tr w:rsidR="00FB3162" w:rsidRPr="00FB3162" w14:paraId="29BFCB72" w14:textId="77777777" w:rsidTr="005D1FD2">
        <w:trPr>
          <w:trHeight w:val="255"/>
        </w:trPr>
        <w:tc>
          <w:tcPr>
            <w:tcW w:w="2714" w:type="dxa"/>
            <w:tcBorders>
              <w:top w:val="single" w:sz="12" w:space="0" w:color="auto"/>
              <w:left w:val="single" w:sz="12" w:space="0" w:color="auto"/>
              <w:right w:val="single" w:sz="12" w:space="0" w:color="auto"/>
            </w:tcBorders>
            <w:noWrap/>
            <w:hideMark/>
          </w:tcPr>
          <w:p w14:paraId="548EDF5C" w14:textId="77777777" w:rsidR="00FB3162" w:rsidRPr="00FB3162" w:rsidRDefault="00FB3162" w:rsidP="00FB3162">
            <w:pPr>
              <w:spacing w:before="60" w:after="60" w:line="240" w:lineRule="auto"/>
              <w:rPr>
                <w:rFonts w:cstheme="minorHAnsi"/>
                <w:lang w:eastAsia="cs-CZ"/>
              </w:rPr>
            </w:pPr>
            <w:r w:rsidRPr="00FB3162">
              <w:rPr>
                <w:rFonts w:cstheme="minorHAnsi"/>
                <w:lang w:eastAsia="cs-CZ"/>
              </w:rPr>
              <w:t>Všetky rodinné domy</w:t>
            </w:r>
          </w:p>
        </w:tc>
        <w:tc>
          <w:tcPr>
            <w:tcW w:w="911" w:type="dxa"/>
            <w:tcBorders>
              <w:top w:val="single" w:sz="12" w:space="0" w:color="auto"/>
              <w:left w:val="single" w:sz="12" w:space="0" w:color="auto"/>
            </w:tcBorders>
            <w:noWrap/>
            <w:vAlign w:val="center"/>
            <w:hideMark/>
          </w:tcPr>
          <w:p w14:paraId="081BAE82"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0,7536</w:t>
            </w:r>
          </w:p>
        </w:tc>
        <w:tc>
          <w:tcPr>
            <w:tcW w:w="911" w:type="dxa"/>
            <w:tcBorders>
              <w:top w:val="single" w:sz="12" w:space="0" w:color="auto"/>
            </w:tcBorders>
            <w:noWrap/>
            <w:vAlign w:val="center"/>
            <w:hideMark/>
          </w:tcPr>
          <w:p w14:paraId="29025BCA"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696</w:t>
            </w:r>
          </w:p>
        </w:tc>
        <w:tc>
          <w:tcPr>
            <w:tcW w:w="911" w:type="dxa"/>
            <w:tcBorders>
              <w:top w:val="single" w:sz="12" w:space="0" w:color="auto"/>
            </w:tcBorders>
            <w:noWrap/>
            <w:vAlign w:val="center"/>
            <w:hideMark/>
          </w:tcPr>
          <w:p w14:paraId="5A880E73"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228</w:t>
            </w:r>
          </w:p>
        </w:tc>
        <w:tc>
          <w:tcPr>
            <w:tcW w:w="911" w:type="dxa"/>
            <w:tcBorders>
              <w:top w:val="single" w:sz="12" w:space="0" w:color="auto"/>
            </w:tcBorders>
            <w:noWrap/>
            <w:vAlign w:val="center"/>
            <w:hideMark/>
          </w:tcPr>
          <w:p w14:paraId="309F4937"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508</w:t>
            </w:r>
          </w:p>
        </w:tc>
        <w:tc>
          <w:tcPr>
            <w:tcW w:w="911" w:type="dxa"/>
            <w:tcBorders>
              <w:top w:val="single" w:sz="12" w:space="0" w:color="auto"/>
            </w:tcBorders>
            <w:noWrap/>
            <w:vAlign w:val="center"/>
            <w:hideMark/>
          </w:tcPr>
          <w:p w14:paraId="69C88AFC"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41</w:t>
            </w:r>
          </w:p>
        </w:tc>
        <w:tc>
          <w:tcPr>
            <w:tcW w:w="911" w:type="dxa"/>
            <w:tcBorders>
              <w:top w:val="single" w:sz="12" w:space="0" w:color="auto"/>
            </w:tcBorders>
            <w:noWrap/>
            <w:vAlign w:val="center"/>
            <w:hideMark/>
          </w:tcPr>
          <w:p w14:paraId="4D88D4BD"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216</w:t>
            </w:r>
          </w:p>
        </w:tc>
        <w:tc>
          <w:tcPr>
            <w:tcW w:w="912" w:type="dxa"/>
            <w:tcBorders>
              <w:top w:val="single" w:sz="12" w:space="0" w:color="auto"/>
              <w:right w:val="single" w:sz="12" w:space="0" w:color="auto"/>
            </w:tcBorders>
            <w:noWrap/>
            <w:vAlign w:val="center"/>
            <w:hideMark/>
          </w:tcPr>
          <w:p w14:paraId="155645C8"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141</w:t>
            </w:r>
          </w:p>
        </w:tc>
      </w:tr>
      <w:tr w:rsidR="00FB3162" w:rsidRPr="00FB3162" w14:paraId="35FD6D3B" w14:textId="77777777" w:rsidTr="005D1FD2">
        <w:trPr>
          <w:trHeight w:val="255"/>
        </w:trPr>
        <w:tc>
          <w:tcPr>
            <w:tcW w:w="2714" w:type="dxa"/>
            <w:tcBorders>
              <w:left w:val="single" w:sz="12" w:space="0" w:color="auto"/>
              <w:right w:val="single" w:sz="12" w:space="0" w:color="auto"/>
            </w:tcBorders>
            <w:noWrap/>
            <w:hideMark/>
          </w:tcPr>
          <w:p w14:paraId="3DEC9A53" w14:textId="77777777" w:rsidR="00FB3162" w:rsidRPr="00FB3162" w:rsidRDefault="00FB3162" w:rsidP="00FB3162">
            <w:pPr>
              <w:spacing w:before="60" w:after="60" w:line="240" w:lineRule="auto"/>
              <w:rPr>
                <w:rFonts w:cstheme="minorHAnsi"/>
                <w:lang w:eastAsia="cs-CZ"/>
              </w:rPr>
            </w:pPr>
            <w:r w:rsidRPr="00FB3162">
              <w:rPr>
                <w:rFonts w:cstheme="minorHAnsi"/>
                <w:lang w:eastAsia="cs-CZ"/>
              </w:rPr>
              <w:t>Rodinné domy 1-podlažné</w:t>
            </w:r>
          </w:p>
        </w:tc>
        <w:tc>
          <w:tcPr>
            <w:tcW w:w="911" w:type="dxa"/>
            <w:tcBorders>
              <w:left w:val="single" w:sz="12" w:space="0" w:color="auto"/>
            </w:tcBorders>
            <w:noWrap/>
            <w:vAlign w:val="center"/>
            <w:hideMark/>
          </w:tcPr>
          <w:p w14:paraId="38E927B0"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0,9879</w:t>
            </w:r>
          </w:p>
        </w:tc>
        <w:tc>
          <w:tcPr>
            <w:tcW w:w="911" w:type="dxa"/>
            <w:noWrap/>
            <w:vAlign w:val="center"/>
            <w:hideMark/>
          </w:tcPr>
          <w:p w14:paraId="63A453FE"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459</w:t>
            </w:r>
          </w:p>
        </w:tc>
        <w:tc>
          <w:tcPr>
            <w:tcW w:w="911" w:type="dxa"/>
            <w:noWrap/>
            <w:vAlign w:val="center"/>
            <w:hideMark/>
          </w:tcPr>
          <w:p w14:paraId="323714EF" w14:textId="50B8ACDF"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138</w:t>
            </w:r>
          </w:p>
        </w:tc>
        <w:tc>
          <w:tcPr>
            <w:tcW w:w="911" w:type="dxa"/>
            <w:noWrap/>
            <w:vAlign w:val="center"/>
            <w:hideMark/>
          </w:tcPr>
          <w:p w14:paraId="062AF09D"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448</w:t>
            </w:r>
          </w:p>
        </w:tc>
        <w:tc>
          <w:tcPr>
            <w:tcW w:w="911" w:type="dxa"/>
            <w:noWrap/>
            <w:vAlign w:val="center"/>
            <w:hideMark/>
          </w:tcPr>
          <w:p w14:paraId="385D7E11"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30</w:t>
            </w:r>
          </w:p>
        </w:tc>
        <w:tc>
          <w:tcPr>
            <w:tcW w:w="911" w:type="dxa"/>
            <w:noWrap/>
            <w:vAlign w:val="center"/>
            <w:hideMark/>
          </w:tcPr>
          <w:p w14:paraId="75BA3381"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139</w:t>
            </w:r>
          </w:p>
        </w:tc>
        <w:tc>
          <w:tcPr>
            <w:tcW w:w="912" w:type="dxa"/>
            <w:tcBorders>
              <w:right w:val="single" w:sz="12" w:space="0" w:color="auto"/>
            </w:tcBorders>
            <w:noWrap/>
            <w:vAlign w:val="center"/>
            <w:hideMark/>
          </w:tcPr>
          <w:p w14:paraId="0356DA32"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138</w:t>
            </w:r>
          </w:p>
        </w:tc>
      </w:tr>
      <w:tr w:rsidR="00FB3162" w:rsidRPr="00FB3162" w14:paraId="613A027F" w14:textId="77777777" w:rsidTr="005D1FD2">
        <w:trPr>
          <w:trHeight w:val="255"/>
        </w:trPr>
        <w:tc>
          <w:tcPr>
            <w:tcW w:w="2714" w:type="dxa"/>
            <w:tcBorders>
              <w:left w:val="single" w:sz="12" w:space="0" w:color="auto"/>
              <w:bottom w:val="single" w:sz="12" w:space="0" w:color="auto"/>
              <w:right w:val="single" w:sz="12" w:space="0" w:color="auto"/>
            </w:tcBorders>
            <w:noWrap/>
            <w:hideMark/>
          </w:tcPr>
          <w:p w14:paraId="56544BB2" w14:textId="77777777" w:rsidR="00FB3162" w:rsidRPr="00FB3162" w:rsidRDefault="00FB3162" w:rsidP="00FB3162">
            <w:pPr>
              <w:spacing w:before="60" w:after="60" w:line="240" w:lineRule="auto"/>
              <w:rPr>
                <w:rFonts w:cstheme="minorHAnsi"/>
                <w:lang w:eastAsia="cs-CZ"/>
              </w:rPr>
            </w:pPr>
            <w:r w:rsidRPr="00FB3162">
              <w:rPr>
                <w:rFonts w:cstheme="minorHAnsi"/>
                <w:lang w:eastAsia="cs-CZ"/>
              </w:rPr>
              <w:t>Rodinné domy 2-podlažné a viac podlažné</w:t>
            </w:r>
          </w:p>
        </w:tc>
        <w:tc>
          <w:tcPr>
            <w:tcW w:w="911" w:type="dxa"/>
            <w:tcBorders>
              <w:left w:val="single" w:sz="12" w:space="0" w:color="auto"/>
              <w:bottom w:val="single" w:sz="12" w:space="0" w:color="auto"/>
            </w:tcBorders>
            <w:noWrap/>
            <w:vAlign w:val="center"/>
            <w:hideMark/>
          </w:tcPr>
          <w:p w14:paraId="7AE8CEA4"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0,7293</w:t>
            </w:r>
          </w:p>
        </w:tc>
        <w:tc>
          <w:tcPr>
            <w:tcW w:w="911" w:type="dxa"/>
            <w:tcBorders>
              <w:bottom w:val="single" w:sz="12" w:space="0" w:color="auto"/>
            </w:tcBorders>
            <w:noWrap/>
            <w:vAlign w:val="center"/>
            <w:hideMark/>
          </w:tcPr>
          <w:p w14:paraId="504C67C2"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730</w:t>
            </w:r>
          </w:p>
        </w:tc>
        <w:tc>
          <w:tcPr>
            <w:tcW w:w="911" w:type="dxa"/>
            <w:tcBorders>
              <w:bottom w:val="single" w:sz="12" w:space="0" w:color="auto"/>
            </w:tcBorders>
            <w:noWrap/>
            <w:vAlign w:val="center"/>
            <w:hideMark/>
          </w:tcPr>
          <w:p w14:paraId="1E3552D3"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256</w:t>
            </w:r>
          </w:p>
        </w:tc>
        <w:tc>
          <w:tcPr>
            <w:tcW w:w="911" w:type="dxa"/>
            <w:tcBorders>
              <w:bottom w:val="single" w:sz="12" w:space="0" w:color="auto"/>
            </w:tcBorders>
            <w:noWrap/>
            <w:vAlign w:val="center"/>
            <w:hideMark/>
          </w:tcPr>
          <w:p w14:paraId="7EB717DB"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539</w:t>
            </w:r>
          </w:p>
        </w:tc>
        <w:tc>
          <w:tcPr>
            <w:tcW w:w="911" w:type="dxa"/>
            <w:tcBorders>
              <w:bottom w:val="single" w:sz="12" w:space="0" w:color="auto"/>
            </w:tcBorders>
            <w:noWrap/>
            <w:vAlign w:val="center"/>
            <w:hideMark/>
          </w:tcPr>
          <w:p w14:paraId="511B1708"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48</w:t>
            </w:r>
          </w:p>
        </w:tc>
        <w:tc>
          <w:tcPr>
            <w:tcW w:w="911" w:type="dxa"/>
            <w:tcBorders>
              <w:bottom w:val="single" w:sz="12" w:space="0" w:color="auto"/>
            </w:tcBorders>
            <w:noWrap/>
            <w:vAlign w:val="center"/>
            <w:hideMark/>
          </w:tcPr>
          <w:p w14:paraId="174F6C18"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226</w:t>
            </w:r>
          </w:p>
        </w:tc>
        <w:tc>
          <w:tcPr>
            <w:tcW w:w="912" w:type="dxa"/>
            <w:tcBorders>
              <w:bottom w:val="single" w:sz="12" w:space="0" w:color="auto"/>
              <w:right w:val="single" w:sz="12" w:space="0" w:color="auto"/>
            </w:tcBorders>
            <w:noWrap/>
            <w:vAlign w:val="center"/>
            <w:hideMark/>
          </w:tcPr>
          <w:p w14:paraId="5CF2948E" w14:textId="77777777" w:rsidR="00FB3162" w:rsidRPr="00FB3162" w:rsidRDefault="00FB3162" w:rsidP="00FB3162">
            <w:pPr>
              <w:spacing w:before="60" w:after="60" w:line="240" w:lineRule="auto"/>
              <w:jc w:val="center"/>
              <w:rPr>
                <w:rFonts w:cstheme="minorHAnsi"/>
                <w:lang w:eastAsia="sk-SK"/>
              </w:rPr>
            </w:pPr>
            <w:r w:rsidRPr="00FB3162">
              <w:rPr>
                <w:rFonts w:cstheme="minorHAnsi"/>
                <w:lang w:eastAsia="sk-SK"/>
              </w:rPr>
              <w:t>145</w:t>
            </w:r>
          </w:p>
        </w:tc>
      </w:tr>
    </w:tbl>
    <w:p w14:paraId="097EA618" w14:textId="5F6010F9" w:rsidR="00FB3162" w:rsidRPr="00FB3162" w:rsidRDefault="00FB3162" w:rsidP="00FB3162">
      <w:pPr>
        <w:spacing w:before="120"/>
      </w:pPr>
      <w:r w:rsidRPr="00FB3162">
        <w:t>Zdroj: [</w:t>
      </w:r>
      <w:r w:rsidR="005B4055">
        <w:t>2</w:t>
      </w:r>
      <w:r w:rsidRPr="00FB3162">
        <w:t>]</w:t>
      </w:r>
    </w:p>
    <w:p w14:paraId="3AD7FA93" w14:textId="2E7629E4" w:rsidR="005E330B" w:rsidRDefault="005E330B" w:rsidP="00EB46B3">
      <w:pPr>
        <w:pStyle w:val="Nadpis2"/>
        <w:numPr>
          <w:ilvl w:val="1"/>
          <w:numId w:val="14"/>
        </w:numPr>
        <w:ind w:left="357" w:hanging="357"/>
      </w:pPr>
      <w:bookmarkStart w:id="4" w:name="_Toc62576763"/>
      <w:r>
        <w:t>Doterajší prístup k</w:t>
      </w:r>
      <w:r w:rsidR="00372017">
        <w:t> </w:t>
      </w:r>
      <w:r>
        <w:t>obnove</w:t>
      </w:r>
      <w:r w:rsidR="00372017">
        <w:t xml:space="preserve"> rodinných domov</w:t>
      </w:r>
      <w:bookmarkEnd w:id="4"/>
    </w:p>
    <w:p w14:paraId="4BBABCA1" w14:textId="49393FF9" w:rsidR="009D40EF" w:rsidRDefault="00D71EA3" w:rsidP="00595AE1">
      <w:pPr>
        <w:widowControl w:val="0"/>
        <w:adjustRightInd w:val="0"/>
        <w:spacing w:after="200" w:line="276" w:lineRule="auto"/>
        <w:jc w:val="both"/>
        <w:textAlignment w:val="baseline"/>
      </w:pPr>
      <w:r>
        <w:t>Súčasný stav fondu rodinných domov je</w:t>
      </w:r>
      <w:r w:rsidR="00FB3162">
        <w:t xml:space="preserve"> významne</w:t>
      </w:r>
      <w:r>
        <w:t xml:space="preserve"> ovplyvnení prístupom vlastníkov, ich finančnými možnosťami a nastavením regulačných alebo motivačných verejných politík v SR. </w:t>
      </w:r>
      <w:r w:rsidR="008069CD">
        <w:t>Pohľad na d</w:t>
      </w:r>
      <w:r w:rsidR="00595AE1">
        <w:t>oterajší prístup vlastníkov k</w:t>
      </w:r>
      <w:r w:rsidR="008069CD">
        <w:t> </w:t>
      </w:r>
      <w:r w:rsidR="00595AE1">
        <w:t>obnove</w:t>
      </w:r>
      <w:r w:rsidR="008069CD">
        <w:t xml:space="preserve"> môže </w:t>
      </w:r>
      <w:r w:rsidR="008069CD" w:rsidRPr="008069CD">
        <w:t>ponúknuť r</w:t>
      </w:r>
      <w:r w:rsidR="00595AE1" w:rsidRPr="008069CD">
        <w:t>eprezentatívny kvantitatívny prieskum</w:t>
      </w:r>
      <w:r w:rsidR="008069CD">
        <w:t xml:space="preserve"> medzi vlastníkmi rodinných domov. </w:t>
      </w:r>
      <w:r>
        <w:t>Nasledujúce štatistiky boli získané formou p</w:t>
      </w:r>
      <w:r w:rsidRPr="0056518D">
        <w:t>rieskum</w:t>
      </w:r>
      <w:r>
        <w:t>u,</w:t>
      </w:r>
      <w:r w:rsidRPr="0056518D">
        <w:t xml:space="preserve"> </w:t>
      </w:r>
      <w:r>
        <w:t xml:space="preserve">ktorý pre platformu Budovy pre budúcnosť </w:t>
      </w:r>
      <w:r w:rsidRPr="0056518D">
        <w:t>robila agentúra Focus</w:t>
      </w:r>
      <w:r w:rsidR="00E90F0F">
        <w:t>,</w:t>
      </w:r>
      <w:r w:rsidRPr="0056518D">
        <w:t xml:space="preserve"> medzi 504 respondentmi na začiatku roka 2020 medzi obyvateľmi Trnavského, Trenčianskeho a Žilinského kraja, ktorí žijú v rodinných domoch starších ako 10 rokov</w:t>
      </w:r>
      <w:r>
        <w:t>.</w:t>
      </w:r>
    </w:p>
    <w:p w14:paraId="03A040C3" w14:textId="141E4446" w:rsidR="008941B4" w:rsidRDefault="00987DAC" w:rsidP="008941B4">
      <w:pPr>
        <w:spacing w:line="276" w:lineRule="auto"/>
        <w:jc w:val="both"/>
      </w:pPr>
      <w:r w:rsidRPr="008941B4">
        <w:t xml:space="preserve">48% respondentov obnovovalo vonkajšiu časť domu alebo vykurovací systém v posledných 5 rokoch a 29% pred viac ako 5 rokmi. Vo väčšine prípadov išlo o výmenu okien alebo obnovu fasády. 85 % respondentov uviedlo, že obnovu svojho rodinného domu financovali </w:t>
      </w:r>
      <w:r w:rsidR="008941B4" w:rsidRPr="008941B4">
        <w:t xml:space="preserve">(aj) </w:t>
      </w:r>
      <w:r w:rsidRPr="008941B4">
        <w:t>z vlastných úspor</w:t>
      </w:r>
      <w:r w:rsidR="008941B4" w:rsidRPr="008941B4">
        <w:t xml:space="preserve"> a približne 20 % (aj) bežným úverom z banky či úverom zo stavebného sporenia. Tento spôsob financovania </w:t>
      </w:r>
      <w:r w:rsidR="008941B4" w:rsidRPr="008941B4">
        <w:lastRenderedPageBreak/>
        <w:t xml:space="preserve">potvrdzuje taktiež MDV SR, ktoré tvrdí, že </w:t>
      </w:r>
      <w:r w:rsidR="009D40EF" w:rsidRPr="008941B4">
        <w:t>doterajšia obnova bola takmer výlučne financovaná zo súkromných zdrojov vlastníkov, prípadne v kombinácii s využitím úveru zo stavebného sporenia, úveru komerčnej banky</w:t>
      </w:r>
      <w:r w:rsidR="008941B4">
        <w:t xml:space="preserve"> [6]</w:t>
      </w:r>
      <w:r w:rsidR="009D40EF" w:rsidRPr="008941B4">
        <w:t>.</w:t>
      </w:r>
    </w:p>
    <w:p w14:paraId="27F3DD0D" w14:textId="6802D5B5" w:rsidR="008941B4" w:rsidRDefault="008941B4" w:rsidP="008941B4">
      <w:pPr>
        <w:widowControl w:val="0"/>
        <w:adjustRightInd w:val="0"/>
        <w:spacing w:after="200" w:line="276" w:lineRule="auto"/>
        <w:jc w:val="both"/>
        <w:textAlignment w:val="baseline"/>
        <w:rPr>
          <w:rFonts w:cstheme="minorHAnsi"/>
          <w:lang w:eastAsia="sk-SK"/>
        </w:rPr>
      </w:pPr>
      <w:r>
        <w:t>49 % majiteľov realizoval</w:t>
      </w:r>
      <w:r w:rsidR="00274137">
        <w:t>o</w:t>
      </w:r>
      <w:r>
        <w:t xml:space="preserve"> obnovu po častiach, počas dlhšieho obdobia a 51 % realizovalo obnovu naraz v rámci jednej väčšej renovácie. Hlavným dôvodom pre čiastočnú obnovu bol nedostatok peňazí a hlavným dôvodom pre jednorazovú obnovu bolo, že ju chceli mať majitelia vybavenú efektívne a naraz. </w:t>
      </w:r>
      <w:r>
        <w:rPr>
          <w:rFonts w:cstheme="minorHAnsi"/>
          <w:lang w:eastAsia="sk-SK"/>
        </w:rPr>
        <w:t>Z prieskumu tiež vieme, že 71 % respondentov nemal</w:t>
      </w:r>
      <w:r w:rsidR="00274137">
        <w:rPr>
          <w:rFonts w:cstheme="minorHAnsi"/>
          <w:lang w:eastAsia="sk-SK"/>
        </w:rPr>
        <w:t>o</w:t>
      </w:r>
      <w:r>
        <w:rPr>
          <w:rFonts w:cstheme="minorHAnsi"/>
          <w:lang w:eastAsia="sk-SK"/>
        </w:rPr>
        <w:t xml:space="preserve"> pri obnove stavebný alebo technický dozor a 70 % nemalo vypracovanú projektovú dokumentáciu.  </w:t>
      </w:r>
      <w:r w:rsidR="00811A54">
        <w:rPr>
          <w:rFonts w:cstheme="minorHAnsi"/>
          <w:lang w:eastAsia="sk-SK"/>
        </w:rPr>
        <w:t>33 % respondentov realizovalo obnovu čiastočne svojpomocne a čiastočne pomocou stavebnej firmy. Celú renováciu realizovala stavebná firma len pri 27 % opýtaných. Najčastejším rozhodujúcim faktorom, prečo sa majitelia rozhodli obnovovať</w:t>
      </w:r>
      <w:r w:rsidR="00274137">
        <w:rPr>
          <w:rFonts w:cstheme="minorHAnsi"/>
          <w:lang w:eastAsia="sk-SK"/>
        </w:rPr>
        <w:t>,</w:t>
      </w:r>
      <w:r w:rsidR="00811A54">
        <w:rPr>
          <w:rFonts w:cstheme="minorHAnsi"/>
          <w:lang w:eastAsia="sk-SK"/>
        </w:rPr>
        <w:t xml:space="preserve"> bolo zlé vnútorné prostredie v dome. Druhým najčastejším faktorom bola havária resp. technický stav domu, keby bolo nutné danú situáciu riešiť. </w:t>
      </w:r>
    </w:p>
    <w:p w14:paraId="72867D2F" w14:textId="60D728D8" w:rsidR="000437BF" w:rsidRDefault="000437BF" w:rsidP="000437BF">
      <w:pPr>
        <w:pStyle w:val="Nadpis3"/>
        <w:numPr>
          <w:ilvl w:val="2"/>
          <w:numId w:val="14"/>
        </w:numPr>
        <w:ind w:left="720"/>
        <w:rPr>
          <w:lang w:eastAsia="sk-SK"/>
        </w:rPr>
      </w:pPr>
      <w:bookmarkStart w:id="5" w:name="_Toc62576764"/>
      <w:r>
        <w:rPr>
          <w:lang w:eastAsia="sk-SK"/>
        </w:rPr>
        <w:t>Nedostatky pri obnove rodinných domov</w:t>
      </w:r>
      <w:bookmarkEnd w:id="5"/>
    </w:p>
    <w:p w14:paraId="3AAE42E7" w14:textId="42D61F6A" w:rsidR="005E330B" w:rsidRPr="00C04667" w:rsidRDefault="00192FCD" w:rsidP="00192FCD">
      <w:pPr>
        <w:jc w:val="both"/>
        <w:rPr>
          <w:rFonts w:cstheme="minorHAnsi"/>
        </w:rPr>
      </w:pPr>
      <w:r w:rsidRPr="00192FCD">
        <w:t xml:space="preserve">Pri rodinných domoch je veľkým nedostatkom obnovy samotná kvalita. Realizuje sa väčšinou bez odborného prístupu, postupnými krokmi a nedostatočne komplexne. </w:t>
      </w:r>
      <w:r w:rsidR="005E330B" w:rsidRPr="00C04667">
        <w:rPr>
          <w:rFonts w:cstheme="minorHAnsi"/>
        </w:rPr>
        <w:t>Podľa Ministerstva dopravy a výstavby SR sa pri obnove rodinných domov najčastejšie vyskytujú nasledovné nedostatky:</w:t>
      </w:r>
      <w:r w:rsidR="008069CD">
        <w:rPr>
          <w:rFonts w:cstheme="minorHAnsi"/>
        </w:rPr>
        <w:t xml:space="preserve"> </w:t>
      </w:r>
      <w:r w:rsidR="008069CD" w:rsidRPr="00C04667">
        <w:rPr>
          <w:rFonts w:cstheme="minorHAnsi"/>
        </w:rPr>
        <w:t>[</w:t>
      </w:r>
      <w:r w:rsidR="005B4055">
        <w:rPr>
          <w:rFonts w:cstheme="minorHAnsi"/>
        </w:rPr>
        <w:t>2</w:t>
      </w:r>
      <w:r w:rsidR="008069CD" w:rsidRPr="00C04667">
        <w:rPr>
          <w:rFonts w:cstheme="minorHAnsi"/>
        </w:rPr>
        <w:t>]</w:t>
      </w:r>
    </w:p>
    <w:p w14:paraId="4A49744E" w14:textId="77777777" w:rsidR="005E330B" w:rsidRPr="00C04667" w:rsidRDefault="005E330B" w:rsidP="00D71EA3">
      <w:pPr>
        <w:widowControl w:val="0"/>
        <w:numPr>
          <w:ilvl w:val="0"/>
          <w:numId w:val="16"/>
        </w:numPr>
        <w:adjustRightInd w:val="0"/>
        <w:spacing w:after="0" w:line="276" w:lineRule="auto"/>
        <w:jc w:val="both"/>
        <w:textAlignment w:val="baseline"/>
        <w:rPr>
          <w:rFonts w:cstheme="minorHAnsi"/>
          <w:lang w:eastAsia="sk-SK"/>
        </w:rPr>
      </w:pPr>
      <w:r w:rsidRPr="00C04667">
        <w:rPr>
          <w:rFonts w:cstheme="minorHAnsi"/>
          <w:lang w:eastAsia="sk-SK"/>
        </w:rPr>
        <w:t>fond rodinných domov postavených pred rokom 1992 sa zhotovoval hlavne svojpomocne, nekvalifikovane, s množstvom chýb v návrhu a pri zhotovovaní;</w:t>
      </w:r>
    </w:p>
    <w:p w14:paraId="7EFFACBF" w14:textId="77777777" w:rsidR="005E330B" w:rsidRPr="00C04667" w:rsidRDefault="005E330B" w:rsidP="00D71EA3">
      <w:pPr>
        <w:widowControl w:val="0"/>
        <w:numPr>
          <w:ilvl w:val="0"/>
          <w:numId w:val="16"/>
        </w:numPr>
        <w:adjustRightInd w:val="0"/>
        <w:spacing w:after="0" w:line="276" w:lineRule="auto"/>
        <w:jc w:val="both"/>
        <w:textAlignment w:val="baseline"/>
        <w:rPr>
          <w:rFonts w:cstheme="minorHAnsi"/>
          <w:lang w:eastAsia="sk-SK"/>
        </w:rPr>
      </w:pPr>
      <w:r w:rsidRPr="00C04667">
        <w:rPr>
          <w:rFonts w:cstheme="minorHAnsi"/>
          <w:lang w:eastAsia="sk-SK"/>
        </w:rPr>
        <w:t xml:space="preserve">obnova rodinných domov sa v súčasnosti často nevykonáva na základe stavebného povolenia, nespracováva sa potrebná projektová dokumentácia, nepredkladajú sa energetické certifikáty </w:t>
      </w:r>
    </w:p>
    <w:p w14:paraId="3193287A" w14:textId="77777777" w:rsidR="005E330B" w:rsidRPr="00C04667" w:rsidRDefault="005E330B" w:rsidP="00D71EA3">
      <w:pPr>
        <w:widowControl w:val="0"/>
        <w:numPr>
          <w:ilvl w:val="0"/>
          <w:numId w:val="16"/>
        </w:numPr>
        <w:adjustRightInd w:val="0"/>
        <w:spacing w:after="0" w:line="276" w:lineRule="auto"/>
        <w:jc w:val="both"/>
        <w:textAlignment w:val="baseline"/>
        <w:rPr>
          <w:rFonts w:cstheme="minorHAnsi"/>
          <w:lang w:eastAsia="sk-SK"/>
        </w:rPr>
      </w:pPr>
      <w:r w:rsidRPr="00C04667">
        <w:rPr>
          <w:rFonts w:cstheme="minorHAnsi"/>
          <w:lang w:eastAsia="sk-SK"/>
        </w:rPr>
        <w:t>dostatočne sa nerieši tepelná ochrana rodinného domu, rozhodujúce detaily sa neriešia v projektovej dokumentácii, a tým ani na stavbe, dochádza k vzniku tepelných mostov, únikom tepla a vznikajú hygienické nedostatky;</w:t>
      </w:r>
    </w:p>
    <w:p w14:paraId="7584AB5B" w14:textId="77777777" w:rsidR="005E330B" w:rsidRPr="00C04667" w:rsidRDefault="005E330B" w:rsidP="00D71EA3">
      <w:pPr>
        <w:widowControl w:val="0"/>
        <w:numPr>
          <w:ilvl w:val="0"/>
          <w:numId w:val="16"/>
        </w:numPr>
        <w:adjustRightInd w:val="0"/>
        <w:spacing w:after="0" w:line="276" w:lineRule="auto"/>
        <w:jc w:val="both"/>
        <w:textAlignment w:val="baseline"/>
        <w:rPr>
          <w:rFonts w:cstheme="minorHAnsi"/>
          <w:lang w:eastAsia="sk-SK"/>
        </w:rPr>
      </w:pPr>
      <w:r w:rsidRPr="00C04667">
        <w:rPr>
          <w:rFonts w:cstheme="minorHAnsi"/>
          <w:lang w:eastAsia="sk-SK"/>
        </w:rPr>
        <w:t>mnohé rodinné domy sú zateplené len čiastočne a energetické certifikáty za roky 2018 preukazujú, že viac ako 35 % rodinných domov sa v súčasnosti obnovuje len v energetickej triede C a horšie;</w:t>
      </w:r>
    </w:p>
    <w:p w14:paraId="7DAEB67E" w14:textId="77777777" w:rsidR="005E330B" w:rsidRDefault="005E330B" w:rsidP="00D71EA3">
      <w:pPr>
        <w:widowControl w:val="0"/>
        <w:numPr>
          <w:ilvl w:val="0"/>
          <w:numId w:val="16"/>
        </w:numPr>
        <w:adjustRightInd w:val="0"/>
        <w:spacing w:after="200" w:line="276" w:lineRule="auto"/>
        <w:jc w:val="both"/>
        <w:textAlignment w:val="baseline"/>
        <w:rPr>
          <w:rFonts w:cstheme="minorHAnsi"/>
          <w:lang w:eastAsia="sk-SK"/>
        </w:rPr>
      </w:pPr>
      <w:r w:rsidRPr="00C04667">
        <w:rPr>
          <w:rFonts w:cstheme="minorHAnsi"/>
          <w:lang w:eastAsia="sk-SK"/>
        </w:rPr>
        <w:t>šetrí sa na materiáloch, používajú sa často nevhodné stavebné výrobky a dochádza ku zámene komponentov kontaktného tepelnoizolačného systému (ETICS).</w:t>
      </w:r>
    </w:p>
    <w:p w14:paraId="0653B87B" w14:textId="4679A04E" w:rsidR="005E330B" w:rsidRDefault="00192FCD" w:rsidP="000437BF">
      <w:pPr>
        <w:pStyle w:val="Nadpis3"/>
        <w:numPr>
          <w:ilvl w:val="2"/>
          <w:numId w:val="14"/>
        </w:numPr>
        <w:ind w:left="720"/>
        <w:rPr>
          <w:lang w:eastAsia="sk-SK"/>
        </w:rPr>
      </w:pPr>
      <w:bookmarkStart w:id="6" w:name="_Toc62576765"/>
      <w:r>
        <w:rPr>
          <w:lang w:eastAsia="sk-SK"/>
        </w:rPr>
        <w:t>Prehľad certifikovaných obnov rodinných domov</w:t>
      </w:r>
      <w:bookmarkEnd w:id="6"/>
    </w:p>
    <w:p w14:paraId="22555054" w14:textId="1E75DE51" w:rsidR="005E330B" w:rsidRDefault="00987DAC" w:rsidP="003A48AC">
      <w:pPr>
        <w:widowControl w:val="0"/>
        <w:adjustRightInd w:val="0"/>
        <w:spacing w:after="200" w:line="276" w:lineRule="auto"/>
        <w:jc w:val="both"/>
        <w:textAlignment w:val="baseline"/>
      </w:pPr>
      <w:r>
        <w:t xml:space="preserve">Ku koncu roku 2020 je certifikovaných </w:t>
      </w:r>
      <w:r w:rsidRPr="001A055E">
        <w:t>120</w:t>
      </w:r>
      <w:r>
        <w:t xml:space="preserve"> </w:t>
      </w:r>
      <w:r w:rsidRPr="001A055E">
        <w:t>732 rodinných domov</w:t>
      </w:r>
      <w:r w:rsidR="00274137">
        <w:t>,</w:t>
      </w:r>
      <w:r>
        <w:t xml:space="preserve"> z toho pri </w:t>
      </w:r>
      <w:r w:rsidR="008B24EE">
        <w:t>12 695</w:t>
      </w:r>
      <w:r>
        <w:t xml:space="preserve"> sa jednalo o významnú obnovu (drvivú väčšinu </w:t>
      </w:r>
      <w:r w:rsidR="000437BF">
        <w:t xml:space="preserve">teda </w:t>
      </w:r>
      <w:r>
        <w:t xml:space="preserve">predstavujú novostavby). </w:t>
      </w:r>
      <w:r w:rsidR="008B24EE">
        <w:t xml:space="preserve">Povinnosť vyhotoviť energetický certifikát pri obnove </w:t>
      </w:r>
      <w:r w:rsidR="00BC2342">
        <w:t xml:space="preserve">majú všetky rodinné domy, ktoré prejdú </w:t>
      </w:r>
      <w:r w:rsidR="008069CD">
        <w:t xml:space="preserve">tzv. </w:t>
      </w:r>
      <w:r w:rsidR="00BC2342">
        <w:t xml:space="preserve">významnou obnovou </w:t>
      </w:r>
      <w:r w:rsidR="00BC2342" w:rsidRPr="00BC2342">
        <w:t>(</w:t>
      </w:r>
      <w:r w:rsidR="00BC2342">
        <w:t xml:space="preserve">t.j. </w:t>
      </w:r>
      <w:r w:rsidR="00BC2342" w:rsidRPr="00BC2342">
        <w:t>stavebné úpravy  existujúcej  budovy,  ktorými  sa vykonáva   zásah   do  jej obalovej konštrukcie v rozsahu viac ako 25 % jej plochy, najmä zateplením   obvodového a  strešného  plášťa a výmenou  pôvodných  otvorových výplní)</w:t>
      </w:r>
      <w:r w:rsidR="00BC2342">
        <w:t xml:space="preserve">. Je však zrejmé, že pri veľkej časti obnovovaných rodinných domoch sa energetická certifikácia nevykonáva. </w:t>
      </w:r>
    </w:p>
    <w:p w14:paraId="3FF79BCA" w14:textId="1FED8BE0" w:rsidR="00BC2342" w:rsidRDefault="00BC2342" w:rsidP="00BC2342">
      <w:pPr>
        <w:widowControl w:val="0"/>
        <w:adjustRightInd w:val="0"/>
        <w:spacing w:after="200" w:line="276" w:lineRule="auto"/>
        <w:jc w:val="both"/>
        <w:textAlignment w:val="baseline"/>
      </w:pPr>
      <w:r>
        <w:t xml:space="preserve">Z tabuľky č. 2 je možné vyhodnotiť postupný nárast podielu vyšších energetických tried v období 2014 až 2020. </w:t>
      </w:r>
      <w:r w:rsidRPr="00BC2342">
        <w:t xml:space="preserve">Minimálnu požiadavku </w:t>
      </w:r>
      <w:r>
        <w:t xml:space="preserve">na EHB </w:t>
      </w:r>
      <w:r w:rsidRPr="00BC2342">
        <w:t>musia dosiahnuť a</w:t>
      </w:r>
      <w:r>
        <w:t>j</w:t>
      </w:r>
      <w:r w:rsidRPr="00BC2342">
        <w:t xml:space="preserve"> významne obnovené budovy. Ak to nie je technicky, funkčne a ekonomicky uskutočniteľné, stavebné konštrukcie a prvky tvoriace ich časť, ktoré vytvárajú obalovú konštrukciu budovy, musia spĺňať aspoň požiadavky určené podľa </w:t>
      </w:r>
      <w:r>
        <w:t xml:space="preserve">príslušnej </w:t>
      </w:r>
      <w:r w:rsidRPr="00BC2342">
        <w:t>technickej normy pre jednotlivé energetické úrovne výstavby.</w:t>
      </w:r>
    </w:p>
    <w:p w14:paraId="771BDCE0" w14:textId="77777777" w:rsidR="00FB3162" w:rsidRPr="00BC2342" w:rsidRDefault="00FB3162" w:rsidP="00BC2342">
      <w:pPr>
        <w:widowControl w:val="0"/>
        <w:adjustRightInd w:val="0"/>
        <w:spacing w:after="200" w:line="276" w:lineRule="auto"/>
        <w:jc w:val="both"/>
        <w:textAlignment w:val="baseline"/>
      </w:pPr>
    </w:p>
    <w:p w14:paraId="0EE7D882" w14:textId="3DCF28A3" w:rsidR="00C07F59" w:rsidRPr="00207C11" w:rsidRDefault="00C07F59" w:rsidP="00C07F59">
      <w:pPr>
        <w:rPr>
          <w:i/>
          <w:iCs/>
        </w:rPr>
      </w:pPr>
      <w:r w:rsidRPr="00207C11">
        <w:rPr>
          <w:i/>
          <w:iCs/>
        </w:rPr>
        <w:t>Tab</w:t>
      </w:r>
      <w:r w:rsidR="00207C11" w:rsidRPr="00207C11">
        <w:rPr>
          <w:i/>
          <w:iCs/>
        </w:rPr>
        <w:t xml:space="preserve">. </w:t>
      </w:r>
      <w:r w:rsidR="009D46B3">
        <w:rPr>
          <w:i/>
          <w:iCs/>
        </w:rPr>
        <w:t>5</w:t>
      </w:r>
      <w:r w:rsidRPr="00207C11">
        <w:rPr>
          <w:i/>
          <w:iCs/>
        </w:rPr>
        <w:t xml:space="preserve">: Energetické triedy certifikovaných významne obnovených RD v rokoch 2014 </w:t>
      </w:r>
      <w:r w:rsidR="00FB3162" w:rsidRPr="00207C11">
        <w:rPr>
          <w:i/>
          <w:iCs/>
        </w:rPr>
        <w:t>–</w:t>
      </w:r>
      <w:r w:rsidRPr="00207C11">
        <w:rPr>
          <w:i/>
          <w:iCs/>
        </w:rPr>
        <w:t xml:space="preserve"> 2020</w:t>
      </w:r>
    </w:p>
    <w:tbl>
      <w:tblPr>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3"/>
        <w:gridCol w:w="552"/>
        <w:gridCol w:w="419"/>
        <w:gridCol w:w="707"/>
        <w:gridCol w:w="428"/>
        <w:gridCol w:w="706"/>
        <w:gridCol w:w="425"/>
        <w:gridCol w:w="706"/>
        <w:gridCol w:w="425"/>
        <w:gridCol w:w="706"/>
        <w:gridCol w:w="303"/>
        <w:gridCol w:w="122"/>
        <w:gridCol w:w="562"/>
        <w:gridCol w:w="359"/>
        <w:gridCol w:w="122"/>
        <w:gridCol w:w="542"/>
        <w:gridCol w:w="160"/>
        <w:gridCol w:w="62"/>
        <w:gridCol w:w="475"/>
        <w:gridCol w:w="62"/>
        <w:gridCol w:w="160"/>
        <w:gridCol w:w="62"/>
        <w:gridCol w:w="537"/>
        <w:gridCol w:w="60"/>
      </w:tblGrid>
      <w:tr w:rsidR="00C07F59" w:rsidRPr="001D7A16" w14:paraId="75236496" w14:textId="77777777" w:rsidTr="0057327C">
        <w:trPr>
          <w:gridAfter w:val="1"/>
          <w:wAfter w:w="60" w:type="dxa"/>
          <w:trHeight w:val="315"/>
        </w:trPr>
        <w:tc>
          <w:tcPr>
            <w:tcW w:w="9175" w:type="dxa"/>
            <w:gridSpan w:val="23"/>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B396D50" w14:textId="77777777" w:rsidR="00C07F59" w:rsidRPr="001D7A16" w:rsidRDefault="00C07F59" w:rsidP="0057327C">
            <w:pPr>
              <w:spacing w:after="0" w:line="240" w:lineRule="auto"/>
              <w:jc w:val="center"/>
              <w:rPr>
                <w:rFonts w:ascii="Calibri" w:eastAsia="Times New Roman" w:hAnsi="Calibri" w:cs="Calibri"/>
                <w:color w:val="000000"/>
                <w:lang w:eastAsia="sk-SK"/>
              </w:rPr>
            </w:pPr>
            <w:r w:rsidRPr="00C07F59">
              <w:rPr>
                <w:rFonts w:ascii="Calibri" w:eastAsia="Times New Roman" w:hAnsi="Calibri" w:cs="Calibri"/>
                <w:color w:val="000000"/>
                <w:sz w:val="18"/>
                <w:szCs w:val="18"/>
                <w:lang w:eastAsia="sk-SK"/>
              </w:rPr>
              <w:t>ENERGETICKÁ TRIEDA (PRIMÁRNA ENERGIA)</w:t>
            </w:r>
          </w:p>
        </w:tc>
      </w:tr>
      <w:tr w:rsidR="00C07F59" w:rsidRPr="001D7A16" w14:paraId="1EE6E44F" w14:textId="77777777" w:rsidTr="00BC2342">
        <w:trPr>
          <w:gridAfter w:val="1"/>
          <w:wAfter w:w="60" w:type="dxa"/>
          <w:trHeight w:val="260"/>
        </w:trPr>
        <w:tc>
          <w:tcPr>
            <w:tcW w:w="573" w:type="dxa"/>
            <w:tcBorders>
              <w:top w:val="single" w:sz="12" w:space="0" w:color="auto"/>
              <w:left w:val="single" w:sz="12" w:space="0" w:color="auto"/>
              <w:right w:val="single" w:sz="12" w:space="0" w:color="auto"/>
            </w:tcBorders>
            <w:shd w:val="clear" w:color="auto" w:fill="auto"/>
            <w:noWrap/>
            <w:vAlign w:val="center"/>
            <w:hideMark/>
          </w:tcPr>
          <w:p w14:paraId="69D6B61E" w14:textId="77777777" w:rsidR="00C07F59" w:rsidRPr="001D7A16" w:rsidRDefault="00C07F59" w:rsidP="00BC2342">
            <w:pPr>
              <w:spacing w:before="40" w:after="40"/>
              <w:jc w:val="center"/>
              <w:rPr>
                <w:rFonts w:cstheme="minorHAnsi"/>
                <w:sz w:val="16"/>
                <w:szCs w:val="16"/>
              </w:rPr>
            </w:pPr>
          </w:p>
        </w:tc>
        <w:tc>
          <w:tcPr>
            <w:tcW w:w="552" w:type="dxa"/>
            <w:tcBorders>
              <w:top w:val="single" w:sz="12" w:space="0" w:color="auto"/>
              <w:left w:val="single" w:sz="12" w:space="0" w:color="auto"/>
              <w:right w:val="single" w:sz="12" w:space="0" w:color="auto"/>
            </w:tcBorders>
            <w:shd w:val="clear" w:color="auto" w:fill="auto"/>
            <w:noWrap/>
            <w:vAlign w:val="center"/>
            <w:hideMark/>
          </w:tcPr>
          <w:p w14:paraId="6D157ED4" w14:textId="77777777" w:rsidR="00C07F59" w:rsidRPr="001D7A16" w:rsidRDefault="00C07F59" w:rsidP="00BC2342">
            <w:pPr>
              <w:spacing w:before="40" w:after="40"/>
              <w:jc w:val="center"/>
              <w:rPr>
                <w:rFonts w:cstheme="minorHAnsi"/>
                <w:sz w:val="16"/>
                <w:szCs w:val="16"/>
              </w:rPr>
            </w:pPr>
          </w:p>
        </w:tc>
        <w:tc>
          <w:tcPr>
            <w:tcW w:w="1126" w:type="dxa"/>
            <w:gridSpan w:val="2"/>
            <w:tcBorders>
              <w:top w:val="single" w:sz="12" w:space="0" w:color="auto"/>
              <w:left w:val="single" w:sz="12" w:space="0" w:color="auto"/>
            </w:tcBorders>
            <w:shd w:val="clear" w:color="auto" w:fill="auto"/>
            <w:noWrap/>
            <w:vAlign w:val="center"/>
            <w:hideMark/>
          </w:tcPr>
          <w:p w14:paraId="6CAF745D"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A0</w:t>
            </w:r>
          </w:p>
        </w:tc>
        <w:tc>
          <w:tcPr>
            <w:tcW w:w="1134" w:type="dxa"/>
            <w:gridSpan w:val="2"/>
            <w:tcBorders>
              <w:top w:val="single" w:sz="12" w:space="0" w:color="auto"/>
            </w:tcBorders>
            <w:shd w:val="clear" w:color="auto" w:fill="auto"/>
            <w:noWrap/>
            <w:vAlign w:val="center"/>
            <w:hideMark/>
          </w:tcPr>
          <w:p w14:paraId="220FFC9D"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A1</w:t>
            </w:r>
          </w:p>
        </w:tc>
        <w:tc>
          <w:tcPr>
            <w:tcW w:w="1131" w:type="dxa"/>
            <w:gridSpan w:val="2"/>
            <w:tcBorders>
              <w:top w:val="single" w:sz="12" w:space="0" w:color="auto"/>
            </w:tcBorders>
            <w:shd w:val="clear" w:color="auto" w:fill="auto"/>
            <w:noWrap/>
            <w:vAlign w:val="center"/>
            <w:hideMark/>
          </w:tcPr>
          <w:p w14:paraId="5A5ACB01"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B</w:t>
            </w:r>
          </w:p>
        </w:tc>
        <w:tc>
          <w:tcPr>
            <w:tcW w:w="1131" w:type="dxa"/>
            <w:gridSpan w:val="2"/>
            <w:tcBorders>
              <w:top w:val="single" w:sz="12" w:space="0" w:color="auto"/>
            </w:tcBorders>
            <w:shd w:val="clear" w:color="auto" w:fill="auto"/>
            <w:noWrap/>
            <w:vAlign w:val="center"/>
            <w:hideMark/>
          </w:tcPr>
          <w:p w14:paraId="682AD980"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C</w:t>
            </w:r>
          </w:p>
        </w:tc>
        <w:tc>
          <w:tcPr>
            <w:tcW w:w="987" w:type="dxa"/>
            <w:gridSpan w:val="3"/>
            <w:tcBorders>
              <w:top w:val="single" w:sz="12" w:space="0" w:color="auto"/>
              <w:bottom w:val="single" w:sz="12" w:space="0" w:color="auto"/>
            </w:tcBorders>
            <w:shd w:val="clear" w:color="auto" w:fill="auto"/>
            <w:noWrap/>
            <w:vAlign w:val="center"/>
            <w:hideMark/>
          </w:tcPr>
          <w:p w14:paraId="4EE6F22B"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D</w:t>
            </w:r>
          </w:p>
        </w:tc>
        <w:tc>
          <w:tcPr>
            <w:tcW w:w="1023" w:type="dxa"/>
            <w:gridSpan w:val="3"/>
            <w:tcBorders>
              <w:top w:val="single" w:sz="12" w:space="0" w:color="auto"/>
              <w:bottom w:val="single" w:sz="12" w:space="0" w:color="auto"/>
            </w:tcBorders>
            <w:shd w:val="clear" w:color="auto" w:fill="auto"/>
            <w:noWrap/>
            <w:vAlign w:val="center"/>
            <w:hideMark/>
          </w:tcPr>
          <w:p w14:paraId="0CE54054"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E</w:t>
            </w:r>
          </w:p>
        </w:tc>
        <w:tc>
          <w:tcPr>
            <w:tcW w:w="697" w:type="dxa"/>
            <w:gridSpan w:val="3"/>
            <w:tcBorders>
              <w:top w:val="single" w:sz="12" w:space="0" w:color="auto"/>
              <w:bottom w:val="single" w:sz="12" w:space="0" w:color="auto"/>
            </w:tcBorders>
            <w:shd w:val="clear" w:color="auto" w:fill="auto"/>
            <w:noWrap/>
            <w:vAlign w:val="center"/>
            <w:hideMark/>
          </w:tcPr>
          <w:p w14:paraId="51E18EC9"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F</w:t>
            </w:r>
          </w:p>
        </w:tc>
        <w:tc>
          <w:tcPr>
            <w:tcW w:w="821" w:type="dxa"/>
            <w:gridSpan w:val="4"/>
            <w:tcBorders>
              <w:top w:val="single" w:sz="12" w:space="0" w:color="auto"/>
              <w:bottom w:val="single" w:sz="12" w:space="0" w:color="auto"/>
              <w:right w:val="single" w:sz="12" w:space="0" w:color="auto"/>
            </w:tcBorders>
            <w:shd w:val="clear" w:color="auto" w:fill="auto"/>
            <w:noWrap/>
            <w:vAlign w:val="center"/>
            <w:hideMark/>
          </w:tcPr>
          <w:p w14:paraId="552F9EAB"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G</w:t>
            </w:r>
          </w:p>
        </w:tc>
      </w:tr>
      <w:tr w:rsidR="00C07F59" w:rsidRPr="001D7A16" w14:paraId="36253F93" w14:textId="77777777" w:rsidTr="0057327C">
        <w:trPr>
          <w:gridAfter w:val="1"/>
          <w:wAfter w:w="60" w:type="dxa"/>
          <w:trHeight w:val="315"/>
        </w:trPr>
        <w:tc>
          <w:tcPr>
            <w:tcW w:w="573" w:type="dxa"/>
            <w:tcBorders>
              <w:top w:val="single" w:sz="12" w:space="0" w:color="auto"/>
              <w:left w:val="single" w:sz="12" w:space="0" w:color="auto"/>
              <w:right w:val="single" w:sz="12" w:space="0" w:color="auto"/>
            </w:tcBorders>
            <w:shd w:val="clear" w:color="auto" w:fill="auto"/>
            <w:noWrap/>
            <w:vAlign w:val="center"/>
            <w:hideMark/>
          </w:tcPr>
          <w:p w14:paraId="1AD16A8A" w14:textId="77777777" w:rsidR="00C07F59" w:rsidRPr="001D7A16" w:rsidRDefault="00C07F59" w:rsidP="00BC2342">
            <w:pPr>
              <w:spacing w:after="0"/>
              <w:jc w:val="center"/>
              <w:rPr>
                <w:rFonts w:cstheme="minorHAnsi"/>
                <w:sz w:val="16"/>
                <w:szCs w:val="16"/>
              </w:rPr>
            </w:pPr>
            <w:r w:rsidRPr="001D7A16">
              <w:rPr>
                <w:rFonts w:cstheme="minorHAnsi"/>
                <w:sz w:val="16"/>
                <w:szCs w:val="16"/>
              </w:rPr>
              <w:t>2014</w:t>
            </w:r>
          </w:p>
        </w:tc>
        <w:tc>
          <w:tcPr>
            <w:tcW w:w="552" w:type="dxa"/>
            <w:tcBorders>
              <w:top w:val="single" w:sz="12" w:space="0" w:color="auto"/>
              <w:left w:val="single" w:sz="12" w:space="0" w:color="auto"/>
              <w:right w:val="single" w:sz="12" w:space="0" w:color="auto"/>
            </w:tcBorders>
            <w:shd w:val="clear" w:color="auto" w:fill="auto"/>
            <w:noWrap/>
            <w:vAlign w:val="center"/>
            <w:hideMark/>
          </w:tcPr>
          <w:p w14:paraId="6EF100AE" w14:textId="77777777" w:rsidR="00C07F59" w:rsidRPr="001D7A16" w:rsidRDefault="00C07F59" w:rsidP="00BC2342">
            <w:pPr>
              <w:spacing w:after="0"/>
              <w:jc w:val="center"/>
              <w:rPr>
                <w:rFonts w:cstheme="minorHAnsi"/>
                <w:sz w:val="16"/>
                <w:szCs w:val="16"/>
              </w:rPr>
            </w:pPr>
            <w:r w:rsidRPr="001D7A16">
              <w:rPr>
                <w:rFonts w:cstheme="minorHAnsi"/>
                <w:sz w:val="16"/>
                <w:szCs w:val="16"/>
              </w:rPr>
              <w:t>1233</w:t>
            </w:r>
          </w:p>
        </w:tc>
        <w:tc>
          <w:tcPr>
            <w:tcW w:w="419" w:type="dxa"/>
            <w:tcBorders>
              <w:top w:val="single" w:sz="12" w:space="0" w:color="auto"/>
              <w:left w:val="single" w:sz="12" w:space="0" w:color="auto"/>
            </w:tcBorders>
            <w:shd w:val="clear" w:color="auto" w:fill="auto"/>
            <w:noWrap/>
            <w:vAlign w:val="center"/>
            <w:hideMark/>
          </w:tcPr>
          <w:p w14:paraId="2EB3F72B"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139</w:t>
            </w:r>
          </w:p>
        </w:tc>
        <w:tc>
          <w:tcPr>
            <w:tcW w:w="707" w:type="dxa"/>
            <w:tcBorders>
              <w:top w:val="single" w:sz="12" w:space="0" w:color="auto"/>
            </w:tcBorders>
            <w:shd w:val="clear" w:color="000000" w:fill="548235"/>
            <w:noWrap/>
            <w:vAlign w:val="center"/>
            <w:hideMark/>
          </w:tcPr>
          <w:p w14:paraId="491DEC16"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11,3</w:t>
            </w:r>
            <w:r>
              <w:rPr>
                <w:rFonts w:cstheme="minorHAnsi"/>
                <w:color w:val="000000"/>
                <w:sz w:val="16"/>
                <w:szCs w:val="16"/>
              </w:rPr>
              <w:t xml:space="preserve"> </w:t>
            </w:r>
            <w:r w:rsidRPr="00C07F59">
              <w:rPr>
                <w:rFonts w:cstheme="minorHAnsi"/>
                <w:color w:val="000000"/>
                <w:sz w:val="16"/>
                <w:szCs w:val="16"/>
              </w:rPr>
              <w:t>%</w:t>
            </w:r>
          </w:p>
        </w:tc>
        <w:tc>
          <w:tcPr>
            <w:tcW w:w="428" w:type="dxa"/>
            <w:tcBorders>
              <w:top w:val="single" w:sz="12" w:space="0" w:color="auto"/>
            </w:tcBorders>
            <w:shd w:val="clear" w:color="auto" w:fill="auto"/>
            <w:noWrap/>
            <w:vAlign w:val="center"/>
            <w:hideMark/>
          </w:tcPr>
          <w:p w14:paraId="1BF6DC1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244</w:t>
            </w:r>
          </w:p>
        </w:tc>
        <w:tc>
          <w:tcPr>
            <w:tcW w:w="706" w:type="dxa"/>
            <w:tcBorders>
              <w:top w:val="single" w:sz="12" w:space="0" w:color="auto"/>
            </w:tcBorders>
            <w:shd w:val="clear" w:color="000000" w:fill="70AD47"/>
            <w:noWrap/>
            <w:vAlign w:val="center"/>
            <w:hideMark/>
          </w:tcPr>
          <w:p w14:paraId="68652402"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19,8</w:t>
            </w:r>
            <w:r>
              <w:rPr>
                <w:rFonts w:cstheme="minorHAnsi"/>
                <w:color w:val="000000"/>
                <w:sz w:val="16"/>
                <w:szCs w:val="16"/>
              </w:rPr>
              <w:t xml:space="preserve"> </w:t>
            </w:r>
            <w:r w:rsidRPr="00C07F59">
              <w:rPr>
                <w:rFonts w:cstheme="minorHAnsi"/>
                <w:color w:val="000000"/>
                <w:sz w:val="16"/>
                <w:szCs w:val="16"/>
              </w:rPr>
              <w:t>%</w:t>
            </w:r>
          </w:p>
        </w:tc>
        <w:tc>
          <w:tcPr>
            <w:tcW w:w="425" w:type="dxa"/>
            <w:tcBorders>
              <w:top w:val="single" w:sz="12" w:space="0" w:color="auto"/>
            </w:tcBorders>
            <w:shd w:val="clear" w:color="auto" w:fill="auto"/>
            <w:noWrap/>
            <w:vAlign w:val="center"/>
            <w:hideMark/>
          </w:tcPr>
          <w:p w14:paraId="0B234489"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668</w:t>
            </w:r>
          </w:p>
        </w:tc>
        <w:tc>
          <w:tcPr>
            <w:tcW w:w="706" w:type="dxa"/>
            <w:tcBorders>
              <w:top w:val="single" w:sz="12" w:space="0" w:color="auto"/>
            </w:tcBorders>
            <w:shd w:val="clear" w:color="000000" w:fill="C6E0B4"/>
            <w:noWrap/>
            <w:vAlign w:val="center"/>
            <w:hideMark/>
          </w:tcPr>
          <w:p w14:paraId="6308ED25"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54,2</w:t>
            </w:r>
            <w:r>
              <w:rPr>
                <w:rFonts w:cstheme="minorHAnsi"/>
                <w:color w:val="000000"/>
                <w:sz w:val="16"/>
                <w:szCs w:val="16"/>
              </w:rPr>
              <w:t xml:space="preserve"> </w:t>
            </w:r>
            <w:r w:rsidRPr="00C07F59">
              <w:rPr>
                <w:rFonts w:cstheme="minorHAnsi"/>
                <w:color w:val="000000"/>
                <w:sz w:val="16"/>
                <w:szCs w:val="16"/>
              </w:rPr>
              <w:t>%</w:t>
            </w:r>
          </w:p>
        </w:tc>
        <w:tc>
          <w:tcPr>
            <w:tcW w:w="425" w:type="dxa"/>
            <w:tcBorders>
              <w:top w:val="single" w:sz="12" w:space="0" w:color="auto"/>
            </w:tcBorders>
            <w:shd w:val="clear" w:color="auto" w:fill="auto"/>
            <w:noWrap/>
            <w:vAlign w:val="center"/>
            <w:hideMark/>
          </w:tcPr>
          <w:p w14:paraId="687E992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129</w:t>
            </w:r>
          </w:p>
        </w:tc>
        <w:tc>
          <w:tcPr>
            <w:tcW w:w="706" w:type="dxa"/>
            <w:tcBorders>
              <w:top w:val="single" w:sz="12" w:space="0" w:color="auto"/>
            </w:tcBorders>
            <w:shd w:val="clear" w:color="000000" w:fill="B4C6E7"/>
            <w:noWrap/>
            <w:vAlign w:val="center"/>
            <w:hideMark/>
          </w:tcPr>
          <w:p w14:paraId="5BC75366"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10,5</w:t>
            </w:r>
            <w:r>
              <w:rPr>
                <w:rFonts w:cstheme="minorHAnsi"/>
                <w:color w:val="000000"/>
                <w:sz w:val="16"/>
                <w:szCs w:val="16"/>
              </w:rPr>
              <w:t xml:space="preserve"> </w:t>
            </w:r>
            <w:r w:rsidRPr="00C07F59">
              <w:rPr>
                <w:rFonts w:cstheme="minorHAnsi"/>
                <w:color w:val="000000"/>
                <w:sz w:val="16"/>
                <w:szCs w:val="16"/>
              </w:rPr>
              <w:t>%</w:t>
            </w:r>
          </w:p>
        </w:tc>
        <w:tc>
          <w:tcPr>
            <w:tcW w:w="425" w:type="dxa"/>
            <w:gridSpan w:val="2"/>
            <w:tcBorders>
              <w:top w:val="single" w:sz="12" w:space="0" w:color="auto"/>
            </w:tcBorders>
            <w:shd w:val="clear" w:color="auto" w:fill="auto"/>
            <w:noWrap/>
            <w:vAlign w:val="center"/>
            <w:hideMark/>
          </w:tcPr>
          <w:p w14:paraId="08D75A2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31</w:t>
            </w:r>
          </w:p>
        </w:tc>
        <w:tc>
          <w:tcPr>
            <w:tcW w:w="562" w:type="dxa"/>
            <w:tcBorders>
              <w:top w:val="single" w:sz="12" w:space="0" w:color="auto"/>
            </w:tcBorders>
            <w:shd w:val="clear" w:color="000000" w:fill="FFE699"/>
            <w:noWrap/>
            <w:vAlign w:val="center"/>
            <w:hideMark/>
          </w:tcPr>
          <w:p w14:paraId="48AA6BC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2,5</w:t>
            </w:r>
            <w:r>
              <w:rPr>
                <w:rFonts w:cstheme="minorHAnsi"/>
                <w:color w:val="000000"/>
                <w:sz w:val="16"/>
                <w:szCs w:val="16"/>
              </w:rPr>
              <w:t xml:space="preserve"> </w:t>
            </w:r>
            <w:r w:rsidRPr="00C07F59">
              <w:rPr>
                <w:rFonts w:cstheme="minorHAnsi"/>
                <w:color w:val="000000"/>
                <w:sz w:val="16"/>
                <w:szCs w:val="16"/>
              </w:rPr>
              <w:t>%</w:t>
            </w:r>
          </w:p>
        </w:tc>
        <w:tc>
          <w:tcPr>
            <w:tcW w:w="481" w:type="dxa"/>
            <w:gridSpan w:val="2"/>
            <w:tcBorders>
              <w:top w:val="single" w:sz="12" w:space="0" w:color="auto"/>
            </w:tcBorders>
            <w:shd w:val="clear" w:color="auto" w:fill="auto"/>
            <w:noWrap/>
            <w:vAlign w:val="center"/>
            <w:hideMark/>
          </w:tcPr>
          <w:p w14:paraId="4CF664F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14</w:t>
            </w:r>
          </w:p>
        </w:tc>
        <w:tc>
          <w:tcPr>
            <w:tcW w:w="542" w:type="dxa"/>
            <w:tcBorders>
              <w:top w:val="single" w:sz="12" w:space="0" w:color="auto"/>
            </w:tcBorders>
            <w:shd w:val="clear" w:color="000000" w:fill="F4B084"/>
            <w:noWrap/>
            <w:vAlign w:val="center"/>
            <w:hideMark/>
          </w:tcPr>
          <w:p w14:paraId="238B911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1,1</w:t>
            </w:r>
            <w:r>
              <w:rPr>
                <w:rFonts w:cstheme="minorHAnsi"/>
                <w:color w:val="000000"/>
                <w:sz w:val="16"/>
                <w:szCs w:val="16"/>
              </w:rPr>
              <w:t xml:space="preserve"> </w:t>
            </w:r>
            <w:r w:rsidRPr="00C07F59">
              <w:rPr>
                <w:rFonts w:cstheme="minorHAnsi"/>
                <w:color w:val="000000"/>
                <w:sz w:val="16"/>
                <w:szCs w:val="16"/>
              </w:rPr>
              <w:t>%</w:t>
            </w:r>
          </w:p>
        </w:tc>
        <w:tc>
          <w:tcPr>
            <w:tcW w:w="222" w:type="dxa"/>
            <w:gridSpan w:val="2"/>
            <w:tcBorders>
              <w:top w:val="single" w:sz="12" w:space="0" w:color="auto"/>
            </w:tcBorders>
            <w:shd w:val="clear" w:color="auto" w:fill="auto"/>
            <w:noWrap/>
            <w:vAlign w:val="center"/>
            <w:hideMark/>
          </w:tcPr>
          <w:p w14:paraId="3C4954B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w:t>
            </w:r>
          </w:p>
        </w:tc>
        <w:tc>
          <w:tcPr>
            <w:tcW w:w="537" w:type="dxa"/>
            <w:gridSpan w:val="2"/>
            <w:tcBorders>
              <w:top w:val="single" w:sz="12" w:space="0" w:color="auto"/>
            </w:tcBorders>
            <w:shd w:val="clear" w:color="000000" w:fill="ED7D31"/>
            <w:noWrap/>
            <w:vAlign w:val="center"/>
            <w:hideMark/>
          </w:tcPr>
          <w:p w14:paraId="644440B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0,3</w:t>
            </w:r>
            <w:r>
              <w:rPr>
                <w:rFonts w:cstheme="minorHAnsi"/>
                <w:color w:val="000000"/>
                <w:sz w:val="16"/>
                <w:szCs w:val="16"/>
              </w:rPr>
              <w:t xml:space="preserve"> </w:t>
            </w:r>
            <w:r w:rsidRPr="00C07F59">
              <w:rPr>
                <w:rFonts w:cstheme="minorHAnsi"/>
                <w:color w:val="000000"/>
                <w:sz w:val="16"/>
                <w:szCs w:val="16"/>
              </w:rPr>
              <w:t>%</w:t>
            </w:r>
          </w:p>
        </w:tc>
        <w:tc>
          <w:tcPr>
            <w:tcW w:w="222" w:type="dxa"/>
            <w:gridSpan w:val="2"/>
            <w:tcBorders>
              <w:top w:val="single" w:sz="12" w:space="0" w:color="auto"/>
            </w:tcBorders>
            <w:shd w:val="clear" w:color="auto" w:fill="auto"/>
            <w:noWrap/>
            <w:vAlign w:val="center"/>
            <w:hideMark/>
          </w:tcPr>
          <w:p w14:paraId="29733121" w14:textId="77777777" w:rsidR="00C07F59" w:rsidRPr="00C07F59" w:rsidRDefault="00C07F59" w:rsidP="00BC2342">
            <w:pPr>
              <w:spacing w:after="0"/>
              <w:rPr>
                <w:rFonts w:cstheme="minorHAnsi"/>
                <w:sz w:val="16"/>
                <w:szCs w:val="16"/>
              </w:rPr>
            </w:pPr>
            <w:r w:rsidRPr="00C07F59">
              <w:rPr>
                <w:rFonts w:cstheme="minorHAnsi"/>
                <w:color w:val="000000"/>
                <w:sz w:val="16"/>
                <w:szCs w:val="16"/>
              </w:rPr>
              <w:t>4</w:t>
            </w:r>
          </w:p>
        </w:tc>
        <w:tc>
          <w:tcPr>
            <w:tcW w:w="537" w:type="dxa"/>
            <w:tcBorders>
              <w:top w:val="single" w:sz="12" w:space="0" w:color="auto"/>
              <w:right w:val="single" w:sz="12" w:space="0" w:color="auto"/>
            </w:tcBorders>
            <w:shd w:val="clear" w:color="000000" w:fill="FF5050"/>
            <w:noWrap/>
            <w:vAlign w:val="center"/>
            <w:hideMark/>
          </w:tcPr>
          <w:p w14:paraId="43307C81" w14:textId="77777777" w:rsidR="00C07F59" w:rsidRPr="00C07F59" w:rsidRDefault="00C07F59" w:rsidP="00BC2342">
            <w:pPr>
              <w:spacing w:after="0"/>
              <w:rPr>
                <w:rFonts w:cstheme="minorHAnsi"/>
                <w:sz w:val="16"/>
                <w:szCs w:val="16"/>
              </w:rPr>
            </w:pPr>
            <w:r w:rsidRPr="00C07F59">
              <w:rPr>
                <w:rFonts w:cstheme="minorHAnsi"/>
                <w:color w:val="000000"/>
                <w:sz w:val="16"/>
                <w:szCs w:val="16"/>
              </w:rPr>
              <w:t>0,3</w:t>
            </w:r>
            <w:r>
              <w:rPr>
                <w:rFonts w:cstheme="minorHAnsi"/>
                <w:color w:val="000000"/>
                <w:sz w:val="16"/>
                <w:szCs w:val="16"/>
              </w:rPr>
              <w:t xml:space="preserve"> </w:t>
            </w:r>
            <w:r w:rsidRPr="00C07F59">
              <w:rPr>
                <w:rFonts w:cstheme="minorHAnsi"/>
                <w:color w:val="000000"/>
                <w:sz w:val="16"/>
                <w:szCs w:val="16"/>
              </w:rPr>
              <w:t>%</w:t>
            </w:r>
          </w:p>
        </w:tc>
      </w:tr>
      <w:tr w:rsidR="00C07F59" w:rsidRPr="001D7A16" w14:paraId="2ED1C87F" w14:textId="77777777" w:rsidTr="0057327C">
        <w:trPr>
          <w:gridAfter w:val="1"/>
          <w:wAfter w:w="60" w:type="dxa"/>
          <w:trHeight w:val="315"/>
        </w:trPr>
        <w:tc>
          <w:tcPr>
            <w:tcW w:w="573" w:type="dxa"/>
            <w:tcBorders>
              <w:left w:val="single" w:sz="12" w:space="0" w:color="auto"/>
              <w:right w:val="single" w:sz="12" w:space="0" w:color="auto"/>
            </w:tcBorders>
            <w:shd w:val="clear" w:color="auto" w:fill="auto"/>
            <w:noWrap/>
            <w:vAlign w:val="center"/>
            <w:hideMark/>
          </w:tcPr>
          <w:p w14:paraId="4E04B4A8" w14:textId="77777777" w:rsidR="00C07F59" w:rsidRPr="001D7A16" w:rsidRDefault="00C07F59" w:rsidP="00BC2342">
            <w:pPr>
              <w:spacing w:after="0"/>
              <w:jc w:val="center"/>
              <w:rPr>
                <w:rFonts w:cstheme="minorHAnsi"/>
                <w:sz w:val="16"/>
                <w:szCs w:val="16"/>
              </w:rPr>
            </w:pPr>
            <w:r w:rsidRPr="001D7A16">
              <w:rPr>
                <w:rFonts w:cstheme="minorHAnsi"/>
                <w:sz w:val="16"/>
                <w:szCs w:val="16"/>
              </w:rPr>
              <w:t>2015</w:t>
            </w:r>
          </w:p>
        </w:tc>
        <w:tc>
          <w:tcPr>
            <w:tcW w:w="552" w:type="dxa"/>
            <w:tcBorders>
              <w:left w:val="single" w:sz="12" w:space="0" w:color="auto"/>
              <w:right w:val="single" w:sz="12" w:space="0" w:color="auto"/>
            </w:tcBorders>
            <w:shd w:val="clear" w:color="auto" w:fill="auto"/>
            <w:noWrap/>
            <w:vAlign w:val="center"/>
            <w:hideMark/>
          </w:tcPr>
          <w:p w14:paraId="25936B19" w14:textId="77777777" w:rsidR="00C07F59" w:rsidRPr="001D7A16" w:rsidRDefault="00C07F59" w:rsidP="00BC2342">
            <w:pPr>
              <w:spacing w:after="0"/>
              <w:jc w:val="center"/>
              <w:rPr>
                <w:rFonts w:cstheme="minorHAnsi"/>
                <w:sz w:val="16"/>
                <w:szCs w:val="16"/>
              </w:rPr>
            </w:pPr>
            <w:r w:rsidRPr="001D7A16">
              <w:rPr>
                <w:rFonts w:cstheme="minorHAnsi"/>
                <w:sz w:val="16"/>
                <w:szCs w:val="16"/>
              </w:rPr>
              <w:t>1309</w:t>
            </w:r>
          </w:p>
        </w:tc>
        <w:tc>
          <w:tcPr>
            <w:tcW w:w="419" w:type="dxa"/>
            <w:tcBorders>
              <w:left w:val="single" w:sz="12" w:space="0" w:color="auto"/>
            </w:tcBorders>
            <w:shd w:val="clear" w:color="auto" w:fill="auto"/>
            <w:noWrap/>
            <w:vAlign w:val="center"/>
            <w:hideMark/>
          </w:tcPr>
          <w:p w14:paraId="23805E4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150</w:t>
            </w:r>
          </w:p>
        </w:tc>
        <w:tc>
          <w:tcPr>
            <w:tcW w:w="707" w:type="dxa"/>
            <w:shd w:val="clear" w:color="000000" w:fill="548235"/>
            <w:noWrap/>
            <w:vAlign w:val="center"/>
            <w:hideMark/>
          </w:tcPr>
          <w:p w14:paraId="0EAE56A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11,5</w:t>
            </w:r>
            <w:r>
              <w:rPr>
                <w:rFonts w:cstheme="minorHAnsi"/>
                <w:color w:val="000000"/>
                <w:sz w:val="16"/>
                <w:szCs w:val="16"/>
              </w:rPr>
              <w:t xml:space="preserve"> </w:t>
            </w:r>
            <w:r w:rsidRPr="00C07F59">
              <w:rPr>
                <w:rFonts w:cstheme="minorHAnsi"/>
                <w:color w:val="000000"/>
                <w:sz w:val="16"/>
                <w:szCs w:val="16"/>
              </w:rPr>
              <w:t>%</w:t>
            </w:r>
          </w:p>
        </w:tc>
        <w:tc>
          <w:tcPr>
            <w:tcW w:w="428" w:type="dxa"/>
            <w:shd w:val="clear" w:color="auto" w:fill="auto"/>
            <w:noWrap/>
            <w:vAlign w:val="center"/>
            <w:hideMark/>
          </w:tcPr>
          <w:p w14:paraId="513E7A9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284</w:t>
            </w:r>
          </w:p>
        </w:tc>
        <w:tc>
          <w:tcPr>
            <w:tcW w:w="706" w:type="dxa"/>
            <w:shd w:val="clear" w:color="000000" w:fill="70AD47"/>
            <w:noWrap/>
            <w:vAlign w:val="center"/>
            <w:hideMark/>
          </w:tcPr>
          <w:p w14:paraId="64F0CDD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21,7</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0516722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693</w:t>
            </w:r>
          </w:p>
        </w:tc>
        <w:tc>
          <w:tcPr>
            <w:tcW w:w="706" w:type="dxa"/>
            <w:shd w:val="clear" w:color="000000" w:fill="C6E0B4"/>
            <w:noWrap/>
            <w:vAlign w:val="center"/>
            <w:hideMark/>
          </w:tcPr>
          <w:p w14:paraId="4926E87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52,9</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74B1C977"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123</w:t>
            </w:r>
          </w:p>
        </w:tc>
        <w:tc>
          <w:tcPr>
            <w:tcW w:w="706" w:type="dxa"/>
            <w:shd w:val="clear" w:color="000000" w:fill="B4C6E7"/>
            <w:noWrap/>
            <w:vAlign w:val="center"/>
            <w:hideMark/>
          </w:tcPr>
          <w:p w14:paraId="638AD41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9,4</w:t>
            </w:r>
            <w:r>
              <w:rPr>
                <w:rFonts w:cstheme="minorHAnsi"/>
                <w:color w:val="000000"/>
                <w:sz w:val="16"/>
                <w:szCs w:val="16"/>
              </w:rPr>
              <w:t xml:space="preserve"> </w:t>
            </w:r>
            <w:r w:rsidRPr="00C07F59">
              <w:rPr>
                <w:rFonts w:cstheme="minorHAnsi"/>
                <w:color w:val="000000"/>
                <w:sz w:val="16"/>
                <w:szCs w:val="16"/>
              </w:rPr>
              <w:t>%</w:t>
            </w:r>
          </w:p>
        </w:tc>
        <w:tc>
          <w:tcPr>
            <w:tcW w:w="425" w:type="dxa"/>
            <w:gridSpan w:val="2"/>
            <w:shd w:val="clear" w:color="auto" w:fill="auto"/>
            <w:noWrap/>
            <w:vAlign w:val="center"/>
            <w:hideMark/>
          </w:tcPr>
          <w:p w14:paraId="5FF6512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40</w:t>
            </w:r>
          </w:p>
        </w:tc>
        <w:tc>
          <w:tcPr>
            <w:tcW w:w="562" w:type="dxa"/>
            <w:shd w:val="clear" w:color="000000" w:fill="FFE699"/>
            <w:noWrap/>
            <w:vAlign w:val="center"/>
            <w:hideMark/>
          </w:tcPr>
          <w:p w14:paraId="07939811"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3,1</w:t>
            </w:r>
            <w:r>
              <w:rPr>
                <w:rFonts w:cstheme="minorHAnsi"/>
                <w:color w:val="000000"/>
                <w:sz w:val="16"/>
                <w:szCs w:val="16"/>
              </w:rPr>
              <w:t xml:space="preserve"> </w:t>
            </w:r>
            <w:r w:rsidRPr="00C07F59">
              <w:rPr>
                <w:rFonts w:cstheme="minorHAnsi"/>
                <w:color w:val="000000"/>
                <w:sz w:val="16"/>
                <w:szCs w:val="16"/>
              </w:rPr>
              <w:t>%</w:t>
            </w:r>
          </w:p>
        </w:tc>
        <w:tc>
          <w:tcPr>
            <w:tcW w:w="481" w:type="dxa"/>
            <w:gridSpan w:val="2"/>
            <w:shd w:val="clear" w:color="auto" w:fill="auto"/>
            <w:noWrap/>
            <w:vAlign w:val="center"/>
            <w:hideMark/>
          </w:tcPr>
          <w:p w14:paraId="443D6A5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10</w:t>
            </w:r>
          </w:p>
        </w:tc>
        <w:tc>
          <w:tcPr>
            <w:tcW w:w="542" w:type="dxa"/>
            <w:shd w:val="clear" w:color="000000" w:fill="F4B084"/>
            <w:noWrap/>
            <w:vAlign w:val="center"/>
            <w:hideMark/>
          </w:tcPr>
          <w:p w14:paraId="03246A5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0,8</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27112975"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w:t>
            </w:r>
          </w:p>
        </w:tc>
        <w:tc>
          <w:tcPr>
            <w:tcW w:w="537" w:type="dxa"/>
            <w:gridSpan w:val="2"/>
            <w:shd w:val="clear" w:color="000000" w:fill="ED7D31"/>
            <w:noWrap/>
            <w:vAlign w:val="center"/>
            <w:hideMark/>
          </w:tcPr>
          <w:p w14:paraId="587045C5"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0,5</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6631865B" w14:textId="77777777" w:rsidR="00C07F59" w:rsidRPr="00C07F59" w:rsidRDefault="00C07F59" w:rsidP="00BC2342">
            <w:pPr>
              <w:spacing w:after="0"/>
              <w:rPr>
                <w:rFonts w:cstheme="minorHAnsi"/>
                <w:sz w:val="16"/>
                <w:szCs w:val="16"/>
              </w:rPr>
            </w:pPr>
            <w:r w:rsidRPr="00C07F59">
              <w:rPr>
                <w:rFonts w:cstheme="minorHAnsi"/>
                <w:color w:val="000000"/>
                <w:sz w:val="16"/>
                <w:szCs w:val="16"/>
              </w:rPr>
              <w:t>3</w:t>
            </w:r>
          </w:p>
        </w:tc>
        <w:tc>
          <w:tcPr>
            <w:tcW w:w="537" w:type="dxa"/>
            <w:tcBorders>
              <w:right w:val="single" w:sz="12" w:space="0" w:color="auto"/>
            </w:tcBorders>
            <w:shd w:val="clear" w:color="000000" w:fill="FF5050"/>
            <w:noWrap/>
            <w:vAlign w:val="center"/>
            <w:hideMark/>
          </w:tcPr>
          <w:p w14:paraId="14FC5190" w14:textId="77777777" w:rsidR="00C07F59" w:rsidRPr="00C07F59" w:rsidRDefault="00C07F59" w:rsidP="00BC2342">
            <w:pPr>
              <w:spacing w:after="0"/>
              <w:rPr>
                <w:rFonts w:cstheme="minorHAnsi"/>
                <w:sz w:val="16"/>
                <w:szCs w:val="16"/>
              </w:rPr>
            </w:pPr>
            <w:r w:rsidRPr="00C07F59">
              <w:rPr>
                <w:rFonts w:cstheme="minorHAnsi"/>
                <w:color w:val="000000"/>
                <w:sz w:val="16"/>
                <w:szCs w:val="16"/>
              </w:rPr>
              <w:t>0,2</w:t>
            </w:r>
            <w:r>
              <w:rPr>
                <w:rFonts w:cstheme="minorHAnsi"/>
                <w:color w:val="000000"/>
                <w:sz w:val="16"/>
                <w:szCs w:val="16"/>
              </w:rPr>
              <w:t xml:space="preserve"> </w:t>
            </w:r>
            <w:r w:rsidRPr="00C07F59">
              <w:rPr>
                <w:rFonts w:cstheme="minorHAnsi"/>
                <w:color w:val="000000"/>
                <w:sz w:val="16"/>
                <w:szCs w:val="16"/>
              </w:rPr>
              <w:t>%</w:t>
            </w:r>
          </w:p>
        </w:tc>
      </w:tr>
      <w:tr w:rsidR="00C07F59" w:rsidRPr="001D7A16" w14:paraId="62A9C245" w14:textId="77777777" w:rsidTr="0057327C">
        <w:trPr>
          <w:gridAfter w:val="1"/>
          <w:wAfter w:w="60" w:type="dxa"/>
          <w:trHeight w:val="315"/>
        </w:trPr>
        <w:tc>
          <w:tcPr>
            <w:tcW w:w="573" w:type="dxa"/>
            <w:tcBorders>
              <w:left w:val="single" w:sz="12" w:space="0" w:color="auto"/>
              <w:right w:val="single" w:sz="12" w:space="0" w:color="auto"/>
            </w:tcBorders>
            <w:shd w:val="clear" w:color="auto" w:fill="auto"/>
            <w:noWrap/>
            <w:vAlign w:val="center"/>
            <w:hideMark/>
          </w:tcPr>
          <w:p w14:paraId="4105790B" w14:textId="77777777" w:rsidR="00C07F59" w:rsidRPr="001D7A16" w:rsidRDefault="00C07F59" w:rsidP="00BC2342">
            <w:pPr>
              <w:spacing w:after="0"/>
              <w:jc w:val="center"/>
              <w:rPr>
                <w:rFonts w:cstheme="minorHAnsi"/>
                <w:sz w:val="16"/>
                <w:szCs w:val="16"/>
              </w:rPr>
            </w:pPr>
            <w:r w:rsidRPr="001D7A16">
              <w:rPr>
                <w:rFonts w:cstheme="minorHAnsi"/>
                <w:sz w:val="16"/>
                <w:szCs w:val="16"/>
              </w:rPr>
              <w:t>2016</w:t>
            </w:r>
          </w:p>
        </w:tc>
        <w:tc>
          <w:tcPr>
            <w:tcW w:w="552" w:type="dxa"/>
            <w:tcBorders>
              <w:left w:val="single" w:sz="12" w:space="0" w:color="auto"/>
              <w:right w:val="single" w:sz="12" w:space="0" w:color="auto"/>
            </w:tcBorders>
            <w:shd w:val="clear" w:color="auto" w:fill="auto"/>
            <w:noWrap/>
            <w:vAlign w:val="center"/>
            <w:hideMark/>
          </w:tcPr>
          <w:p w14:paraId="0A016AB9" w14:textId="77777777" w:rsidR="00C07F59" w:rsidRPr="001D7A16" w:rsidRDefault="00C07F59" w:rsidP="00BC2342">
            <w:pPr>
              <w:spacing w:after="0"/>
              <w:jc w:val="center"/>
              <w:rPr>
                <w:rFonts w:cstheme="minorHAnsi"/>
                <w:sz w:val="16"/>
                <w:szCs w:val="16"/>
              </w:rPr>
            </w:pPr>
            <w:r w:rsidRPr="001D7A16">
              <w:rPr>
                <w:rFonts w:cstheme="minorHAnsi"/>
                <w:sz w:val="16"/>
                <w:szCs w:val="16"/>
              </w:rPr>
              <w:t>1367</w:t>
            </w:r>
          </w:p>
        </w:tc>
        <w:tc>
          <w:tcPr>
            <w:tcW w:w="419" w:type="dxa"/>
            <w:tcBorders>
              <w:left w:val="single" w:sz="12" w:space="0" w:color="auto"/>
            </w:tcBorders>
            <w:shd w:val="clear" w:color="auto" w:fill="auto"/>
            <w:noWrap/>
            <w:vAlign w:val="center"/>
            <w:hideMark/>
          </w:tcPr>
          <w:p w14:paraId="7367F8DF"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168</w:t>
            </w:r>
          </w:p>
        </w:tc>
        <w:tc>
          <w:tcPr>
            <w:tcW w:w="707" w:type="dxa"/>
            <w:shd w:val="clear" w:color="000000" w:fill="548235"/>
            <w:noWrap/>
            <w:vAlign w:val="center"/>
            <w:hideMark/>
          </w:tcPr>
          <w:p w14:paraId="76C36FA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12,3</w:t>
            </w:r>
            <w:r>
              <w:rPr>
                <w:rFonts w:cstheme="minorHAnsi"/>
                <w:color w:val="000000"/>
                <w:sz w:val="16"/>
                <w:szCs w:val="16"/>
              </w:rPr>
              <w:t xml:space="preserve"> </w:t>
            </w:r>
            <w:r w:rsidRPr="00C07F59">
              <w:rPr>
                <w:rFonts w:cstheme="minorHAnsi"/>
                <w:color w:val="000000"/>
                <w:sz w:val="16"/>
                <w:szCs w:val="16"/>
              </w:rPr>
              <w:t>%</w:t>
            </w:r>
          </w:p>
        </w:tc>
        <w:tc>
          <w:tcPr>
            <w:tcW w:w="428" w:type="dxa"/>
            <w:shd w:val="clear" w:color="auto" w:fill="auto"/>
            <w:noWrap/>
            <w:vAlign w:val="center"/>
            <w:hideMark/>
          </w:tcPr>
          <w:p w14:paraId="429F688E"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391</w:t>
            </w:r>
          </w:p>
        </w:tc>
        <w:tc>
          <w:tcPr>
            <w:tcW w:w="706" w:type="dxa"/>
            <w:shd w:val="clear" w:color="000000" w:fill="70AD47"/>
            <w:noWrap/>
            <w:vAlign w:val="center"/>
            <w:hideMark/>
          </w:tcPr>
          <w:p w14:paraId="787AF86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28,6</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2098B26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656</w:t>
            </w:r>
          </w:p>
        </w:tc>
        <w:tc>
          <w:tcPr>
            <w:tcW w:w="706" w:type="dxa"/>
            <w:shd w:val="clear" w:color="000000" w:fill="C6E0B4"/>
            <w:noWrap/>
            <w:vAlign w:val="center"/>
            <w:hideMark/>
          </w:tcPr>
          <w:p w14:paraId="1D0106BE"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48,0</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4B6C5B06"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121</w:t>
            </w:r>
          </w:p>
        </w:tc>
        <w:tc>
          <w:tcPr>
            <w:tcW w:w="706" w:type="dxa"/>
            <w:shd w:val="clear" w:color="000000" w:fill="B4C6E7"/>
            <w:noWrap/>
            <w:vAlign w:val="center"/>
            <w:hideMark/>
          </w:tcPr>
          <w:p w14:paraId="16ECD145"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8,9</w:t>
            </w:r>
            <w:r>
              <w:rPr>
                <w:rFonts w:cstheme="minorHAnsi"/>
                <w:color w:val="000000"/>
                <w:sz w:val="16"/>
                <w:szCs w:val="16"/>
              </w:rPr>
              <w:t xml:space="preserve"> </w:t>
            </w:r>
            <w:r w:rsidRPr="00C07F59">
              <w:rPr>
                <w:rFonts w:cstheme="minorHAnsi"/>
                <w:color w:val="000000"/>
                <w:sz w:val="16"/>
                <w:szCs w:val="16"/>
              </w:rPr>
              <w:t>%</w:t>
            </w:r>
          </w:p>
        </w:tc>
        <w:tc>
          <w:tcPr>
            <w:tcW w:w="425" w:type="dxa"/>
            <w:gridSpan w:val="2"/>
            <w:shd w:val="clear" w:color="auto" w:fill="auto"/>
            <w:noWrap/>
            <w:vAlign w:val="center"/>
            <w:hideMark/>
          </w:tcPr>
          <w:p w14:paraId="1625009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19</w:t>
            </w:r>
          </w:p>
        </w:tc>
        <w:tc>
          <w:tcPr>
            <w:tcW w:w="562" w:type="dxa"/>
            <w:shd w:val="clear" w:color="000000" w:fill="FFE699"/>
            <w:noWrap/>
            <w:vAlign w:val="center"/>
            <w:hideMark/>
          </w:tcPr>
          <w:p w14:paraId="24953186"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1,4</w:t>
            </w:r>
            <w:r>
              <w:rPr>
                <w:rFonts w:cstheme="minorHAnsi"/>
                <w:color w:val="000000"/>
                <w:sz w:val="16"/>
                <w:szCs w:val="16"/>
              </w:rPr>
              <w:t xml:space="preserve"> </w:t>
            </w:r>
            <w:r w:rsidRPr="00C07F59">
              <w:rPr>
                <w:rFonts w:cstheme="minorHAnsi"/>
                <w:color w:val="000000"/>
                <w:sz w:val="16"/>
                <w:szCs w:val="16"/>
              </w:rPr>
              <w:t>%</w:t>
            </w:r>
          </w:p>
        </w:tc>
        <w:tc>
          <w:tcPr>
            <w:tcW w:w="481" w:type="dxa"/>
            <w:gridSpan w:val="2"/>
            <w:shd w:val="clear" w:color="auto" w:fill="auto"/>
            <w:noWrap/>
            <w:vAlign w:val="center"/>
            <w:hideMark/>
          </w:tcPr>
          <w:p w14:paraId="0A9994C9"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8</w:t>
            </w:r>
          </w:p>
        </w:tc>
        <w:tc>
          <w:tcPr>
            <w:tcW w:w="542" w:type="dxa"/>
            <w:shd w:val="clear" w:color="000000" w:fill="F4B084"/>
            <w:noWrap/>
            <w:vAlign w:val="center"/>
            <w:hideMark/>
          </w:tcPr>
          <w:p w14:paraId="40ED91D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0,6</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75011FD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w:t>
            </w:r>
          </w:p>
        </w:tc>
        <w:tc>
          <w:tcPr>
            <w:tcW w:w="537" w:type="dxa"/>
            <w:gridSpan w:val="2"/>
            <w:shd w:val="clear" w:color="000000" w:fill="ED7D31"/>
            <w:noWrap/>
            <w:vAlign w:val="center"/>
            <w:hideMark/>
          </w:tcPr>
          <w:p w14:paraId="472ED45E"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0,3</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6A95F795" w14:textId="77777777" w:rsidR="00C07F59" w:rsidRPr="00C07F59" w:rsidRDefault="00C07F59" w:rsidP="00BC2342">
            <w:pPr>
              <w:spacing w:after="0"/>
              <w:rPr>
                <w:rFonts w:cstheme="minorHAnsi"/>
                <w:sz w:val="16"/>
                <w:szCs w:val="16"/>
              </w:rPr>
            </w:pPr>
            <w:r w:rsidRPr="00C07F59">
              <w:rPr>
                <w:rFonts w:cstheme="minorHAnsi"/>
                <w:color w:val="000000"/>
                <w:sz w:val="16"/>
                <w:szCs w:val="16"/>
              </w:rPr>
              <w:t>0</w:t>
            </w:r>
          </w:p>
        </w:tc>
        <w:tc>
          <w:tcPr>
            <w:tcW w:w="537" w:type="dxa"/>
            <w:tcBorders>
              <w:right w:val="single" w:sz="12" w:space="0" w:color="auto"/>
            </w:tcBorders>
            <w:shd w:val="clear" w:color="000000" w:fill="FF5050"/>
            <w:noWrap/>
            <w:vAlign w:val="center"/>
            <w:hideMark/>
          </w:tcPr>
          <w:p w14:paraId="1647FC61" w14:textId="77777777" w:rsidR="00C07F59" w:rsidRPr="00C07F59" w:rsidRDefault="00C07F59" w:rsidP="00BC2342">
            <w:pPr>
              <w:spacing w:after="0"/>
              <w:rPr>
                <w:rFonts w:cstheme="minorHAnsi"/>
                <w:sz w:val="16"/>
                <w:szCs w:val="16"/>
              </w:rPr>
            </w:pPr>
            <w:r w:rsidRPr="00C07F59">
              <w:rPr>
                <w:rFonts w:cstheme="minorHAnsi"/>
                <w:color w:val="000000"/>
                <w:sz w:val="16"/>
                <w:szCs w:val="16"/>
              </w:rPr>
              <w:t>0,0</w:t>
            </w:r>
            <w:r>
              <w:rPr>
                <w:rFonts w:cstheme="minorHAnsi"/>
                <w:color w:val="000000"/>
                <w:sz w:val="16"/>
                <w:szCs w:val="16"/>
              </w:rPr>
              <w:t xml:space="preserve"> </w:t>
            </w:r>
            <w:r w:rsidRPr="00C07F59">
              <w:rPr>
                <w:rFonts w:cstheme="minorHAnsi"/>
                <w:color w:val="000000"/>
                <w:sz w:val="16"/>
                <w:szCs w:val="16"/>
              </w:rPr>
              <w:t>%</w:t>
            </w:r>
          </w:p>
        </w:tc>
      </w:tr>
      <w:tr w:rsidR="00C07F59" w:rsidRPr="001D7A16" w14:paraId="5B92622F" w14:textId="77777777" w:rsidTr="0057327C">
        <w:trPr>
          <w:gridAfter w:val="1"/>
          <w:wAfter w:w="60" w:type="dxa"/>
          <w:trHeight w:val="315"/>
        </w:trPr>
        <w:tc>
          <w:tcPr>
            <w:tcW w:w="573" w:type="dxa"/>
            <w:tcBorders>
              <w:left w:val="single" w:sz="12" w:space="0" w:color="auto"/>
              <w:right w:val="single" w:sz="12" w:space="0" w:color="auto"/>
            </w:tcBorders>
            <w:shd w:val="clear" w:color="auto" w:fill="auto"/>
            <w:noWrap/>
            <w:vAlign w:val="center"/>
            <w:hideMark/>
          </w:tcPr>
          <w:p w14:paraId="258EB147" w14:textId="77777777" w:rsidR="00C07F59" w:rsidRPr="001D7A16" w:rsidRDefault="00C07F59" w:rsidP="00BC2342">
            <w:pPr>
              <w:spacing w:after="0"/>
              <w:jc w:val="center"/>
              <w:rPr>
                <w:rFonts w:cstheme="minorHAnsi"/>
                <w:sz w:val="16"/>
                <w:szCs w:val="16"/>
              </w:rPr>
            </w:pPr>
            <w:r w:rsidRPr="001D7A16">
              <w:rPr>
                <w:rFonts w:cstheme="minorHAnsi"/>
                <w:sz w:val="16"/>
                <w:szCs w:val="16"/>
              </w:rPr>
              <w:t>2017</w:t>
            </w:r>
          </w:p>
        </w:tc>
        <w:tc>
          <w:tcPr>
            <w:tcW w:w="552" w:type="dxa"/>
            <w:tcBorders>
              <w:left w:val="single" w:sz="12" w:space="0" w:color="auto"/>
              <w:right w:val="single" w:sz="12" w:space="0" w:color="auto"/>
            </w:tcBorders>
            <w:shd w:val="clear" w:color="auto" w:fill="auto"/>
            <w:noWrap/>
            <w:vAlign w:val="center"/>
            <w:hideMark/>
          </w:tcPr>
          <w:p w14:paraId="6E33ACF5" w14:textId="77777777" w:rsidR="00C07F59" w:rsidRPr="001D7A16" w:rsidRDefault="00C07F59" w:rsidP="00BC2342">
            <w:pPr>
              <w:spacing w:after="0"/>
              <w:jc w:val="center"/>
              <w:rPr>
                <w:rFonts w:cstheme="minorHAnsi"/>
                <w:sz w:val="16"/>
                <w:szCs w:val="16"/>
              </w:rPr>
            </w:pPr>
            <w:r w:rsidRPr="001D7A16">
              <w:rPr>
                <w:rFonts w:cstheme="minorHAnsi"/>
                <w:sz w:val="16"/>
                <w:szCs w:val="16"/>
              </w:rPr>
              <w:t>1341</w:t>
            </w:r>
          </w:p>
        </w:tc>
        <w:tc>
          <w:tcPr>
            <w:tcW w:w="419" w:type="dxa"/>
            <w:tcBorders>
              <w:left w:val="single" w:sz="12" w:space="0" w:color="auto"/>
            </w:tcBorders>
            <w:shd w:val="clear" w:color="auto" w:fill="auto"/>
            <w:noWrap/>
            <w:vAlign w:val="center"/>
            <w:hideMark/>
          </w:tcPr>
          <w:p w14:paraId="4F7F2DB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200</w:t>
            </w:r>
          </w:p>
        </w:tc>
        <w:tc>
          <w:tcPr>
            <w:tcW w:w="707" w:type="dxa"/>
            <w:shd w:val="clear" w:color="000000" w:fill="548235"/>
            <w:noWrap/>
            <w:vAlign w:val="center"/>
            <w:hideMark/>
          </w:tcPr>
          <w:p w14:paraId="5D0A738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14,9</w:t>
            </w:r>
            <w:r>
              <w:rPr>
                <w:rFonts w:cstheme="minorHAnsi"/>
                <w:color w:val="000000"/>
                <w:sz w:val="16"/>
                <w:szCs w:val="16"/>
              </w:rPr>
              <w:t xml:space="preserve"> </w:t>
            </w:r>
            <w:r w:rsidRPr="00C07F59">
              <w:rPr>
                <w:rFonts w:cstheme="minorHAnsi"/>
                <w:color w:val="000000"/>
                <w:sz w:val="16"/>
                <w:szCs w:val="16"/>
              </w:rPr>
              <w:t>%</w:t>
            </w:r>
          </w:p>
        </w:tc>
        <w:tc>
          <w:tcPr>
            <w:tcW w:w="428" w:type="dxa"/>
            <w:shd w:val="clear" w:color="auto" w:fill="auto"/>
            <w:noWrap/>
            <w:vAlign w:val="center"/>
            <w:hideMark/>
          </w:tcPr>
          <w:p w14:paraId="74FE7035"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626</w:t>
            </w:r>
          </w:p>
        </w:tc>
        <w:tc>
          <w:tcPr>
            <w:tcW w:w="706" w:type="dxa"/>
            <w:shd w:val="clear" w:color="000000" w:fill="70AD47"/>
            <w:noWrap/>
            <w:vAlign w:val="center"/>
            <w:hideMark/>
          </w:tcPr>
          <w:p w14:paraId="6023989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46,7</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50A2A68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440</w:t>
            </w:r>
          </w:p>
        </w:tc>
        <w:tc>
          <w:tcPr>
            <w:tcW w:w="706" w:type="dxa"/>
            <w:shd w:val="clear" w:color="000000" w:fill="C6E0B4"/>
            <w:noWrap/>
            <w:vAlign w:val="center"/>
            <w:hideMark/>
          </w:tcPr>
          <w:p w14:paraId="0ADAC38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32,8</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058B3CD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53</w:t>
            </w:r>
          </w:p>
        </w:tc>
        <w:tc>
          <w:tcPr>
            <w:tcW w:w="706" w:type="dxa"/>
            <w:shd w:val="clear" w:color="000000" w:fill="B4C6E7"/>
            <w:noWrap/>
            <w:vAlign w:val="center"/>
            <w:hideMark/>
          </w:tcPr>
          <w:p w14:paraId="49AA3CE1"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4,0</w:t>
            </w:r>
            <w:r>
              <w:rPr>
                <w:rFonts w:cstheme="minorHAnsi"/>
                <w:color w:val="000000"/>
                <w:sz w:val="16"/>
                <w:szCs w:val="16"/>
              </w:rPr>
              <w:t xml:space="preserve"> </w:t>
            </w:r>
            <w:r w:rsidRPr="00C07F59">
              <w:rPr>
                <w:rFonts w:cstheme="minorHAnsi"/>
                <w:color w:val="000000"/>
                <w:sz w:val="16"/>
                <w:szCs w:val="16"/>
              </w:rPr>
              <w:t>%</w:t>
            </w:r>
          </w:p>
        </w:tc>
        <w:tc>
          <w:tcPr>
            <w:tcW w:w="425" w:type="dxa"/>
            <w:gridSpan w:val="2"/>
            <w:shd w:val="clear" w:color="auto" w:fill="auto"/>
            <w:noWrap/>
            <w:vAlign w:val="center"/>
            <w:hideMark/>
          </w:tcPr>
          <w:p w14:paraId="22EE5ABB"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16</w:t>
            </w:r>
          </w:p>
        </w:tc>
        <w:tc>
          <w:tcPr>
            <w:tcW w:w="562" w:type="dxa"/>
            <w:shd w:val="clear" w:color="000000" w:fill="FFE699"/>
            <w:noWrap/>
            <w:vAlign w:val="center"/>
            <w:hideMark/>
          </w:tcPr>
          <w:p w14:paraId="2D1B8D5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1,2</w:t>
            </w:r>
            <w:r>
              <w:rPr>
                <w:rFonts w:cstheme="minorHAnsi"/>
                <w:color w:val="000000"/>
                <w:sz w:val="16"/>
                <w:szCs w:val="16"/>
              </w:rPr>
              <w:t xml:space="preserve"> </w:t>
            </w:r>
            <w:r w:rsidRPr="00C07F59">
              <w:rPr>
                <w:rFonts w:cstheme="minorHAnsi"/>
                <w:color w:val="000000"/>
                <w:sz w:val="16"/>
                <w:szCs w:val="16"/>
              </w:rPr>
              <w:t>%</w:t>
            </w:r>
          </w:p>
        </w:tc>
        <w:tc>
          <w:tcPr>
            <w:tcW w:w="481" w:type="dxa"/>
            <w:gridSpan w:val="2"/>
            <w:shd w:val="clear" w:color="auto" w:fill="auto"/>
            <w:noWrap/>
            <w:vAlign w:val="center"/>
            <w:hideMark/>
          </w:tcPr>
          <w:p w14:paraId="150A923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w:t>
            </w:r>
          </w:p>
        </w:tc>
        <w:tc>
          <w:tcPr>
            <w:tcW w:w="542" w:type="dxa"/>
            <w:shd w:val="clear" w:color="000000" w:fill="F4B084"/>
            <w:noWrap/>
            <w:vAlign w:val="center"/>
            <w:hideMark/>
          </w:tcPr>
          <w:p w14:paraId="5198C7C9"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0,4</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6D35488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w:t>
            </w:r>
          </w:p>
        </w:tc>
        <w:tc>
          <w:tcPr>
            <w:tcW w:w="537" w:type="dxa"/>
            <w:gridSpan w:val="2"/>
            <w:shd w:val="clear" w:color="000000" w:fill="ED7D31"/>
            <w:noWrap/>
            <w:vAlign w:val="center"/>
            <w:hideMark/>
          </w:tcPr>
          <w:p w14:paraId="302B589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0,0</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09F1E5D5" w14:textId="77777777" w:rsidR="00C07F59" w:rsidRPr="00C07F59" w:rsidRDefault="00C07F59" w:rsidP="00BC2342">
            <w:pPr>
              <w:spacing w:after="0"/>
              <w:rPr>
                <w:rFonts w:cstheme="minorHAnsi"/>
                <w:sz w:val="16"/>
                <w:szCs w:val="16"/>
              </w:rPr>
            </w:pPr>
            <w:r w:rsidRPr="00C07F59">
              <w:rPr>
                <w:rFonts w:cstheme="minorHAnsi"/>
                <w:color w:val="000000"/>
                <w:sz w:val="16"/>
                <w:szCs w:val="16"/>
              </w:rPr>
              <w:t>1</w:t>
            </w:r>
          </w:p>
        </w:tc>
        <w:tc>
          <w:tcPr>
            <w:tcW w:w="537" w:type="dxa"/>
            <w:tcBorders>
              <w:right w:val="single" w:sz="12" w:space="0" w:color="auto"/>
            </w:tcBorders>
            <w:shd w:val="clear" w:color="000000" w:fill="FF5050"/>
            <w:noWrap/>
            <w:vAlign w:val="center"/>
            <w:hideMark/>
          </w:tcPr>
          <w:p w14:paraId="200ADB79" w14:textId="77777777" w:rsidR="00C07F59" w:rsidRPr="00C07F59" w:rsidRDefault="00C07F59" w:rsidP="00BC2342">
            <w:pPr>
              <w:spacing w:after="0"/>
              <w:rPr>
                <w:rFonts w:cstheme="minorHAnsi"/>
                <w:sz w:val="16"/>
                <w:szCs w:val="16"/>
              </w:rPr>
            </w:pPr>
            <w:r w:rsidRPr="00C07F59">
              <w:rPr>
                <w:rFonts w:cstheme="minorHAnsi"/>
                <w:color w:val="000000"/>
                <w:sz w:val="16"/>
                <w:szCs w:val="16"/>
              </w:rPr>
              <w:t>0,1</w:t>
            </w:r>
            <w:r>
              <w:rPr>
                <w:rFonts w:cstheme="minorHAnsi"/>
                <w:color w:val="000000"/>
                <w:sz w:val="16"/>
                <w:szCs w:val="16"/>
              </w:rPr>
              <w:t xml:space="preserve"> </w:t>
            </w:r>
            <w:r w:rsidRPr="00C07F59">
              <w:rPr>
                <w:rFonts w:cstheme="minorHAnsi"/>
                <w:color w:val="000000"/>
                <w:sz w:val="16"/>
                <w:szCs w:val="16"/>
              </w:rPr>
              <w:t>%</w:t>
            </w:r>
          </w:p>
        </w:tc>
      </w:tr>
      <w:tr w:rsidR="00C07F59" w:rsidRPr="001D7A16" w14:paraId="28DA0001" w14:textId="77777777" w:rsidTr="0057327C">
        <w:trPr>
          <w:gridAfter w:val="1"/>
          <w:wAfter w:w="60" w:type="dxa"/>
          <w:trHeight w:val="315"/>
        </w:trPr>
        <w:tc>
          <w:tcPr>
            <w:tcW w:w="573" w:type="dxa"/>
            <w:tcBorders>
              <w:left w:val="single" w:sz="12" w:space="0" w:color="auto"/>
              <w:right w:val="single" w:sz="12" w:space="0" w:color="auto"/>
            </w:tcBorders>
            <w:shd w:val="clear" w:color="auto" w:fill="auto"/>
            <w:noWrap/>
            <w:vAlign w:val="center"/>
            <w:hideMark/>
          </w:tcPr>
          <w:p w14:paraId="19CD8BE1" w14:textId="77777777" w:rsidR="00C07F59" w:rsidRPr="001D7A16" w:rsidRDefault="00C07F59" w:rsidP="00BC2342">
            <w:pPr>
              <w:spacing w:after="0"/>
              <w:jc w:val="center"/>
              <w:rPr>
                <w:rFonts w:cstheme="minorHAnsi"/>
                <w:sz w:val="16"/>
                <w:szCs w:val="16"/>
              </w:rPr>
            </w:pPr>
            <w:r w:rsidRPr="001D7A16">
              <w:rPr>
                <w:rFonts w:cstheme="minorHAnsi"/>
                <w:sz w:val="16"/>
                <w:szCs w:val="16"/>
              </w:rPr>
              <w:t>2018</w:t>
            </w:r>
          </w:p>
        </w:tc>
        <w:tc>
          <w:tcPr>
            <w:tcW w:w="552" w:type="dxa"/>
            <w:tcBorders>
              <w:left w:val="single" w:sz="12" w:space="0" w:color="auto"/>
              <w:right w:val="single" w:sz="12" w:space="0" w:color="auto"/>
            </w:tcBorders>
            <w:shd w:val="clear" w:color="auto" w:fill="auto"/>
            <w:noWrap/>
            <w:vAlign w:val="center"/>
            <w:hideMark/>
          </w:tcPr>
          <w:p w14:paraId="7D7BF24E" w14:textId="77777777" w:rsidR="00C07F59" w:rsidRPr="001D7A16" w:rsidRDefault="00C07F59" w:rsidP="00BC2342">
            <w:pPr>
              <w:spacing w:after="0"/>
              <w:jc w:val="center"/>
              <w:rPr>
                <w:rFonts w:cstheme="minorHAnsi"/>
                <w:sz w:val="16"/>
                <w:szCs w:val="16"/>
              </w:rPr>
            </w:pPr>
            <w:r w:rsidRPr="001D7A16">
              <w:rPr>
                <w:rFonts w:cstheme="minorHAnsi"/>
                <w:sz w:val="16"/>
                <w:szCs w:val="16"/>
              </w:rPr>
              <w:t>1379</w:t>
            </w:r>
          </w:p>
        </w:tc>
        <w:tc>
          <w:tcPr>
            <w:tcW w:w="419" w:type="dxa"/>
            <w:tcBorders>
              <w:left w:val="single" w:sz="12" w:space="0" w:color="auto"/>
            </w:tcBorders>
            <w:shd w:val="clear" w:color="auto" w:fill="auto"/>
            <w:noWrap/>
            <w:vAlign w:val="center"/>
            <w:hideMark/>
          </w:tcPr>
          <w:p w14:paraId="170B83B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244</w:t>
            </w:r>
          </w:p>
        </w:tc>
        <w:tc>
          <w:tcPr>
            <w:tcW w:w="707" w:type="dxa"/>
            <w:shd w:val="clear" w:color="000000" w:fill="548235"/>
            <w:noWrap/>
            <w:vAlign w:val="center"/>
            <w:hideMark/>
          </w:tcPr>
          <w:p w14:paraId="2FC7B966"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17,7</w:t>
            </w:r>
            <w:r>
              <w:rPr>
                <w:rFonts w:cstheme="minorHAnsi"/>
                <w:color w:val="000000"/>
                <w:sz w:val="16"/>
                <w:szCs w:val="16"/>
              </w:rPr>
              <w:t xml:space="preserve"> </w:t>
            </w:r>
            <w:r w:rsidRPr="00C07F59">
              <w:rPr>
                <w:rFonts w:cstheme="minorHAnsi"/>
                <w:color w:val="000000"/>
                <w:sz w:val="16"/>
                <w:szCs w:val="16"/>
              </w:rPr>
              <w:t>%</w:t>
            </w:r>
          </w:p>
        </w:tc>
        <w:tc>
          <w:tcPr>
            <w:tcW w:w="428" w:type="dxa"/>
            <w:shd w:val="clear" w:color="auto" w:fill="auto"/>
            <w:noWrap/>
            <w:vAlign w:val="center"/>
            <w:hideMark/>
          </w:tcPr>
          <w:p w14:paraId="1C205C51"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681</w:t>
            </w:r>
          </w:p>
        </w:tc>
        <w:tc>
          <w:tcPr>
            <w:tcW w:w="706" w:type="dxa"/>
            <w:shd w:val="clear" w:color="000000" w:fill="70AD47"/>
            <w:noWrap/>
            <w:vAlign w:val="center"/>
            <w:hideMark/>
          </w:tcPr>
          <w:p w14:paraId="2082563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49,4</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43330839"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370</w:t>
            </w:r>
          </w:p>
        </w:tc>
        <w:tc>
          <w:tcPr>
            <w:tcW w:w="706" w:type="dxa"/>
            <w:shd w:val="clear" w:color="000000" w:fill="C6E0B4"/>
            <w:noWrap/>
            <w:vAlign w:val="center"/>
            <w:hideMark/>
          </w:tcPr>
          <w:p w14:paraId="17CF570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26,8</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084AD66E"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73</w:t>
            </w:r>
          </w:p>
        </w:tc>
        <w:tc>
          <w:tcPr>
            <w:tcW w:w="706" w:type="dxa"/>
            <w:shd w:val="clear" w:color="000000" w:fill="B4C6E7"/>
            <w:noWrap/>
            <w:vAlign w:val="center"/>
            <w:hideMark/>
          </w:tcPr>
          <w:p w14:paraId="3A10EB7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5,3</w:t>
            </w:r>
            <w:r>
              <w:rPr>
                <w:rFonts w:cstheme="minorHAnsi"/>
                <w:color w:val="000000"/>
                <w:sz w:val="16"/>
                <w:szCs w:val="16"/>
              </w:rPr>
              <w:t xml:space="preserve"> </w:t>
            </w:r>
            <w:r w:rsidRPr="00C07F59">
              <w:rPr>
                <w:rFonts w:cstheme="minorHAnsi"/>
                <w:color w:val="000000"/>
                <w:sz w:val="16"/>
                <w:szCs w:val="16"/>
              </w:rPr>
              <w:t>%</w:t>
            </w:r>
          </w:p>
        </w:tc>
        <w:tc>
          <w:tcPr>
            <w:tcW w:w="425" w:type="dxa"/>
            <w:gridSpan w:val="2"/>
            <w:shd w:val="clear" w:color="auto" w:fill="auto"/>
            <w:noWrap/>
            <w:vAlign w:val="center"/>
            <w:hideMark/>
          </w:tcPr>
          <w:p w14:paraId="3626F6B9"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8</w:t>
            </w:r>
          </w:p>
        </w:tc>
        <w:tc>
          <w:tcPr>
            <w:tcW w:w="562" w:type="dxa"/>
            <w:shd w:val="clear" w:color="000000" w:fill="FFE699"/>
            <w:noWrap/>
            <w:vAlign w:val="center"/>
            <w:hideMark/>
          </w:tcPr>
          <w:p w14:paraId="0FD3E8A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0,6</w:t>
            </w:r>
            <w:r>
              <w:rPr>
                <w:rFonts w:cstheme="minorHAnsi"/>
                <w:color w:val="000000"/>
                <w:sz w:val="16"/>
                <w:szCs w:val="16"/>
              </w:rPr>
              <w:t xml:space="preserve"> </w:t>
            </w:r>
            <w:r w:rsidRPr="00C07F59">
              <w:rPr>
                <w:rFonts w:cstheme="minorHAnsi"/>
                <w:color w:val="000000"/>
                <w:sz w:val="16"/>
                <w:szCs w:val="16"/>
              </w:rPr>
              <w:t>%</w:t>
            </w:r>
          </w:p>
        </w:tc>
        <w:tc>
          <w:tcPr>
            <w:tcW w:w="481" w:type="dxa"/>
            <w:gridSpan w:val="2"/>
            <w:shd w:val="clear" w:color="auto" w:fill="auto"/>
            <w:noWrap/>
            <w:vAlign w:val="center"/>
            <w:hideMark/>
          </w:tcPr>
          <w:p w14:paraId="4F91398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w:t>
            </w:r>
          </w:p>
        </w:tc>
        <w:tc>
          <w:tcPr>
            <w:tcW w:w="542" w:type="dxa"/>
            <w:shd w:val="clear" w:color="000000" w:fill="F4B084"/>
            <w:noWrap/>
            <w:vAlign w:val="center"/>
            <w:hideMark/>
          </w:tcPr>
          <w:p w14:paraId="1158578B"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0,1</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05233A21"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w:t>
            </w:r>
          </w:p>
        </w:tc>
        <w:tc>
          <w:tcPr>
            <w:tcW w:w="537" w:type="dxa"/>
            <w:gridSpan w:val="2"/>
            <w:shd w:val="clear" w:color="000000" w:fill="ED7D31"/>
            <w:noWrap/>
            <w:vAlign w:val="center"/>
            <w:hideMark/>
          </w:tcPr>
          <w:p w14:paraId="3379B42B"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0,1</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5F01A797" w14:textId="77777777" w:rsidR="00C07F59" w:rsidRPr="00C07F59" w:rsidRDefault="00C07F59" w:rsidP="00BC2342">
            <w:pPr>
              <w:spacing w:after="0"/>
              <w:rPr>
                <w:rFonts w:cstheme="minorHAnsi"/>
                <w:sz w:val="16"/>
                <w:szCs w:val="16"/>
              </w:rPr>
            </w:pPr>
            <w:r w:rsidRPr="00C07F59">
              <w:rPr>
                <w:rFonts w:cstheme="minorHAnsi"/>
                <w:color w:val="000000"/>
                <w:sz w:val="16"/>
                <w:szCs w:val="16"/>
              </w:rPr>
              <w:t>0</w:t>
            </w:r>
          </w:p>
        </w:tc>
        <w:tc>
          <w:tcPr>
            <w:tcW w:w="537" w:type="dxa"/>
            <w:tcBorders>
              <w:right w:val="single" w:sz="12" w:space="0" w:color="auto"/>
            </w:tcBorders>
            <w:shd w:val="clear" w:color="000000" w:fill="FF5050"/>
            <w:noWrap/>
            <w:vAlign w:val="center"/>
            <w:hideMark/>
          </w:tcPr>
          <w:p w14:paraId="5D87411E" w14:textId="77777777" w:rsidR="00C07F59" w:rsidRPr="00C07F59" w:rsidRDefault="00C07F59" w:rsidP="00BC2342">
            <w:pPr>
              <w:spacing w:after="0"/>
              <w:rPr>
                <w:rFonts w:cstheme="minorHAnsi"/>
                <w:sz w:val="16"/>
                <w:szCs w:val="16"/>
              </w:rPr>
            </w:pPr>
            <w:r w:rsidRPr="00C07F59">
              <w:rPr>
                <w:rFonts w:cstheme="minorHAnsi"/>
                <w:color w:val="000000"/>
                <w:sz w:val="16"/>
                <w:szCs w:val="16"/>
              </w:rPr>
              <w:t>0,0</w:t>
            </w:r>
            <w:r>
              <w:rPr>
                <w:rFonts w:cstheme="minorHAnsi"/>
                <w:color w:val="000000"/>
                <w:sz w:val="16"/>
                <w:szCs w:val="16"/>
              </w:rPr>
              <w:t xml:space="preserve"> </w:t>
            </w:r>
            <w:r w:rsidRPr="00C07F59">
              <w:rPr>
                <w:rFonts w:cstheme="minorHAnsi"/>
                <w:color w:val="000000"/>
                <w:sz w:val="16"/>
                <w:szCs w:val="16"/>
              </w:rPr>
              <w:t>%</w:t>
            </w:r>
          </w:p>
        </w:tc>
      </w:tr>
      <w:tr w:rsidR="00C07F59" w:rsidRPr="001D7A16" w14:paraId="3664C22F" w14:textId="77777777" w:rsidTr="0057327C">
        <w:trPr>
          <w:gridAfter w:val="1"/>
          <w:wAfter w:w="60" w:type="dxa"/>
          <w:trHeight w:val="315"/>
        </w:trPr>
        <w:tc>
          <w:tcPr>
            <w:tcW w:w="573" w:type="dxa"/>
            <w:tcBorders>
              <w:left w:val="single" w:sz="12" w:space="0" w:color="auto"/>
              <w:right w:val="single" w:sz="12" w:space="0" w:color="auto"/>
            </w:tcBorders>
            <w:shd w:val="clear" w:color="auto" w:fill="auto"/>
            <w:noWrap/>
            <w:vAlign w:val="center"/>
            <w:hideMark/>
          </w:tcPr>
          <w:p w14:paraId="4E3EF39D" w14:textId="77777777" w:rsidR="00C07F59" w:rsidRPr="001D7A16" w:rsidRDefault="00C07F59" w:rsidP="00BC2342">
            <w:pPr>
              <w:spacing w:after="0"/>
              <w:jc w:val="center"/>
              <w:rPr>
                <w:rFonts w:cstheme="minorHAnsi"/>
                <w:sz w:val="16"/>
                <w:szCs w:val="16"/>
              </w:rPr>
            </w:pPr>
            <w:r w:rsidRPr="001D7A16">
              <w:rPr>
                <w:rFonts w:cstheme="minorHAnsi"/>
                <w:sz w:val="16"/>
                <w:szCs w:val="16"/>
              </w:rPr>
              <w:t>2019</w:t>
            </w:r>
          </w:p>
        </w:tc>
        <w:tc>
          <w:tcPr>
            <w:tcW w:w="552" w:type="dxa"/>
            <w:tcBorders>
              <w:left w:val="single" w:sz="12" w:space="0" w:color="auto"/>
              <w:right w:val="single" w:sz="12" w:space="0" w:color="auto"/>
            </w:tcBorders>
            <w:shd w:val="clear" w:color="auto" w:fill="auto"/>
            <w:noWrap/>
            <w:vAlign w:val="center"/>
            <w:hideMark/>
          </w:tcPr>
          <w:p w14:paraId="6014B24A" w14:textId="77777777" w:rsidR="00C07F59" w:rsidRPr="001D7A16" w:rsidRDefault="00C07F59" w:rsidP="00BC2342">
            <w:pPr>
              <w:spacing w:after="0"/>
              <w:jc w:val="center"/>
              <w:rPr>
                <w:rFonts w:cstheme="minorHAnsi"/>
                <w:sz w:val="16"/>
                <w:szCs w:val="16"/>
              </w:rPr>
            </w:pPr>
            <w:r w:rsidRPr="001D7A16">
              <w:rPr>
                <w:rFonts w:cstheme="minorHAnsi"/>
                <w:sz w:val="16"/>
                <w:szCs w:val="16"/>
              </w:rPr>
              <w:t>1353</w:t>
            </w:r>
          </w:p>
        </w:tc>
        <w:tc>
          <w:tcPr>
            <w:tcW w:w="419" w:type="dxa"/>
            <w:tcBorders>
              <w:left w:val="single" w:sz="12" w:space="0" w:color="auto"/>
            </w:tcBorders>
            <w:shd w:val="clear" w:color="auto" w:fill="auto"/>
            <w:noWrap/>
            <w:vAlign w:val="center"/>
            <w:hideMark/>
          </w:tcPr>
          <w:p w14:paraId="15089C1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223</w:t>
            </w:r>
          </w:p>
        </w:tc>
        <w:tc>
          <w:tcPr>
            <w:tcW w:w="707" w:type="dxa"/>
            <w:shd w:val="clear" w:color="000000" w:fill="548235"/>
            <w:noWrap/>
            <w:vAlign w:val="center"/>
            <w:hideMark/>
          </w:tcPr>
          <w:p w14:paraId="06583A8E"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16,5</w:t>
            </w:r>
            <w:r>
              <w:rPr>
                <w:rFonts w:cstheme="minorHAnsi"/>
                <w:color w:val="000000"/>
                <w:sz w:val="16"/>
                <w:szCs w:val="16"/>
              </w:rPr>
              <w:t xml:space="preserve"> </w:t>
            </w:r>
            <w:r w:rsidRPr="00C07F59">
              <w:rPr>
                <w:rFonts w:cstheme="minorHAnsi"/>
                <w:color w:val="000000"/>
                <w:sz w:val="16"/>
                <w:szCs w:val="16"/>
              </w:rPr>
              <w:t>%</w:t>
            </w:r>
          </w:p>
        </w:tc>
        <w:tc>
          <w:tcPr>
            <w:tcW w:w="428" w:type="dxa"/>
            <w:shd w:val="clear" w:color="auto" w:fill="auto"/>
            <w:noWrap/>
            <w:vAlign w:val="center"/>
            <w:hideMark/>
          </w:tcPr>
          <w:p w14:paraId="01CB0F2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718</w:t>
            </w:r>
          </w:p>
        </w:tc>
        <w:tc>
          <w:tcPr>
            <w:tcW w:w="706" w:type="dxa"/>
            <w:shd w:val="clear" w:color="000000" w:fill="70AD47"/>
            <w:noWrap/>
            <w:vAlign w:val="center"/>
            <w:hideMark/>
          </w:tcPr>
          <w:p w14:paraId="66116CD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53,1</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458A3361"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350</w:t>
            </w:r>
          </w:p>
        </w:tc>
        <w:tc>
          <w:tcPr>
            <w:tcW w:w="706" w:type="dxa"/>
            <w:shd w:val="clear" w:color="000000" w:fill="C6E0B4"/>
            <w:noWrap/>
            <w:vAlign w:val="center"/>
            <w:hideMark/>
          </w:tcPr>
          <w:p w14:paraId="61E1D997"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25,9</w:t>
            </w:r>
            <w:r>
              <w:rPr>
                <w:rFonts w:cstheme="minorHAnsi"/>
                <w:color w:val="000000"/>
                <w:sz w:val="16"/>
                <w:szCs w:val="16"/>
              </w:rPr>
              <w:t xml:space="preserve"> </w:t>
            </w:r>
            <w:r w:rsidRPr="00C07F59">
              <w:rPr>
                <w:rFonts w:cstheme="minorHAnsi"/>
                <w:color w:val="000000"/>
                <w:sz w:val="16"/>
                <w:szCs w:val="16"/>
              </w:rPr>
              <w:t>%</w:t>
            </w:r>
          </w:p>
        </w:tc>
        <w:tc>
          <w:tcPr>
            <w:tcW w:w="425" w:type="dxa"/>
            <w:shd w:val="clear" w:color="auto" w:fill="auto"/>
            <w:noWrap/>
            <w:vAlign w:val="center"/>
            <w:hideMark/>
          </w:tcPr>
          <w:p w14:paraId="30656F6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50</w:t>
            </w:r>
          </w:p>
        </w:tc>
        <w:tc>
          <w:tcPr>
            <w:tcW w:w="706" w:type="dxa"/>
            <w:shd w:val="clear" w:color="000000" w:fill="B4C6E7"/>
            <w:noWrap/>
            <w:vAlign w:val="center"/>
            <w:hideMark/>
          </w:tcPr>
          <w:p w14:paraId="3E6F1AA2"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3,7</w:t>
            </w:r>
            <w:r>
              <w:rPr>
                <w:rFonts w:cstheme="minorHAnsi"/>
                <w:color w:val="000000"/>
                <w:sz w:val="16"/>
                <w:szCs w:val="16"/>
              </w:rPr>
              <w:t xml:space="preserve"> </w:t>
            </w:r>
            <w:r w:rsidRPr="00C07F59">
              <w:rPr>
                <w:rFonts w:cstheme="minorHAnsi"/>
                <w:color w:val="000000"/>
                <w:sz w:val="16"/>
                <w:szCs w:val="16"/>
              </w:rPr>
              <w:t>%</w:t>
            </w:r>
          </w:p>
        </w:tc>
        <w:tc>
          <w:tcPr>
            <w:tcW w:w="425" w:type="dxa"/>
            <w:gridSpan w:val="2"/>
            <w:shd w:val="clear" w:color="auto" w:fill="auto"/>
            <w:noWrap/>
            <w:vAlign w:val="center"/>
            <w:hideMark/>
          </w:tcPr>
          <w:p w14:paraId="475D8162"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9</w:t>
            </w:r>
          </w:p>
        </w:tc>
        <w:tc>
          <w:tcPr>
            <w:tcW w:w="562" w:type="dxa"/>
            <w:shd w:val="clear" w:color="000000" w:fill="FFE699"/>
            <w:noWrap/>
            <w:vAlign w:val="center"/>
            <w:hideMark/>
          </w:tcPr>
          <w:p w14:paraId="69395FD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0,7</w:t>
            </w:r>
            <w:r>
              <w:rPr>
                <w:rFonts w:cstheme="minorHAnsi"/>
                <w:color w:val="000000"/>
                <w:sz w:val="16"/>
                <w:szCs w:val="16"/>
              </w:rPr>
              <w:t xml:space="preserve"> </w:t>
            </w:r>
            <w:r w:rsidRPr="00C07F59">
              <w:rPr>
                <w:rFonts w:cstheme="minorHAnsi"/>
                <w:color w:val="000000"/>
                <w:sz w:val="16"/>
                <w:szCs w:val="16"/>
              </w:rPr>
              <w:t>%</w:t>
            </w:r>
          </w:p>
        </w:tc>
        <w:tc>
          <w:tcPr>
            <w:tcW w:w="481" w:type="dxa"/>
            <w:gridSpan w:val="2"/>
            <w:shd w:val="clear" w:color="auto" w:fill="auto"/>
            <w:noWrap/>
            <w:vAlign w:val="center"/>
            <w:hideMark/>
          </w:tcPr>
          <w:p w14:paraId="591EDA1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w:t>
            </w:r>
          </w:p>
        </w:tc>
        <w:tc>
          <w:tcPr>
            <w:tcW w:w="542" w:type="dxa"/>
            <w:shd w:val="clear" w:color="000000" w:fill="F4B084"/>
            <w:noWrap/>
            <w:vAlign w:val="center"/>
            <w:hideMark/>
          </w:tcPr>
          <w:p w14:paraId="0FA20239"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0,2</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553BF1F6"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w:t>
            </w:r>
          </w:p>
        </w:tc>
        <w:tc>
          <w:tcPr>
            <w:tcW w:w="537" w:type="dxa"/>
            <w:gridSpan w:val="2"/>
            <w:shd w:val="clear" w:color="000000" w:fill="ED7D31"/>
            <w:noWrap/>
            <w:vAlign w:val="center"/>
            <w:hideMark/>
          </w:tcPr>
          <w:p w14:paraId="77BE5F7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0,0</w:t>
            </w:r>
            <w:r>
              <w:rPr>
                <w:rFonts w:cstheme="minorHAnsi"/>
                <w:color w:val="000000"/>
                <w:sz w:val="16"/>
                <w:szCs w:val="16"/>
              </w:rPr>
              <w:t xml:space="preserve"> </w:t>
            </w:r>
            <w:r w:rsidRPr="00C07F59">
              <w:rPr>
                <w:rFonts w:cstheme="minorHAnsi"/>
                <w:color w:val="000000"/>
                <w:sz w:val="16"/>
                <w:szCs w:val="16"/>
              </w:rPr>
              <w:t>%</w:t>
            </w:r>
          </w:p>
        </w:tc>
        <w:tc>
          <w:tcPr>
            <w:tcW w:w="222" w:type="dxa"/>
            <w:gridSpan w:val="2"/>
            <w:shd w:val="clear" w:color="auto" w:fill="auto"/>
            <w:noWrap/>
            <w:vAlign w:val="center"/>
            <w:hideMark/>
          </w:tcPr>
          <w:p w14:paraId="5D61C7DA" w14:textId="77777777" w:rsidR="00C07F59" w:rsidRPr="00C07F59" w:rsidRDefault="00C07F59" w:rsidP="00BC2342">
            <w:pPr>
              <w:spacing w:after="0"/>
              <w:rPr>
                <w:rFonts w:cstheme="minorHAnsi"/>
                <w:sz w:val="16"/>
                <w:szCs w:val="16"/>
              </w:rPr>
            </w:pPr>
            <w:r w:rsidRPr="00C07F59">
              <w:rPr>
                <w:rFonts w:cstheme="minorHAnsi"/>
                <w:color w:val="000000"/>
                <w:sz w:val="16"/>
                <w:szCs w:val="16"/>
              </w:rPr>
              <w:t>0</w:t>
            </w:r>
          </w:p>
        </w:tc>
        <w:tc>
          <w:tcPr>
            <w:tcW w:w="537" w:type="dxa"/>
            <w:tcBorders>
              <w:right w:val="single" w:sz="12" w:space="0" w:color="auto"/>
            </w:tcBorders>
            <w:shd w:val="clear" w:color="000000" w:fill="FF5050"/>
            <w:noWrap/>
            <w:vAlign w:val="center"/>
            <w:hideMark/>
          </w:tcPr>
          <w:p w14:paraId="0B3CCBD8" w14:textId="77777777" w:rsidR="00C07F59" w:rsidRPr="00C07F59" w:rsidRDefault="00C07F59" w:rsidP="00BC2342">
            <w:pPr>
              <w:spacing w:after="0"/>
              <w:rPr>
                <w:rFonts w:cstheme="minorHAnsi"/>
                <w:sz w:val="16"/>
                <w:szCs w:val="16"/>
              </w:rPr>
            </w:pPr>
            <w:r w:rsidRPr="00C07F59">
              <w:rPr>
                <w:rFonts w:cstheme="minorHAnsi"/>
                <w:color w:val="000000"/>
                <w:sz w:val="16"/>
                <w:szCs w:val="16"/>
              </w:rPr>
              <w:t>0,0</w:t>
            </w:r>
            <w:r>
              <w:rPr>
                <w:rFonts w:cstheme="minorHAnsi"/>
                <w:color w:val="000000"/>
                <w:sz w:val="16"/>
                <w:szCs w:val="16"/>
              </w:rPr>
              <w:t xml:space="preserve"> </w:t>
            </w:r>
            <w:r w:rsidRPr="00C07F59">
              <w:rPr>
                <w:rFonts w:cstheme="minorHAnsi"/>
                <w:color w:val="000000"/>
                <w:sz w:val="16"/>
                <w:szCs w:val="16"/>
              </w:rPr>
              <w:t>%</w:t>
            </w:r>
          </w:p>
        </w:tc>
      </w:tr>
      <w:tr w:rsidR="00C07F59" w:rsidRPr="001D7A16" w14:paraId="3DC09761" w14:textId="77777777" w:rsidTr="0057327C">
        <w:trPr>
          <w:gridAfter w:val="1"/>
          <w:wAfter w:w="60" w:type="dxa"/>
          <w:trHeight w:val="315"/>
        </w:trPr>
        <w:tc>
          <w:tcPr>
            <w:tcW w:w="573" w:type="dxa"/>
            <w:tcBorders>
              <w:left w:val="single" w:sz="12" w:space="0" w:color="auto"/>
              <w:bottom w:val="single" w:sz="12" w:space="0" w:color="auto"/>
              <w:right w:val="single" w:sz="12" w:space="0" w:color="auto"/>
            </w:tcBorders>
            <w:shd w:val="clear" w:color="auto" w:fill="auto"/>
            <w:noWrap/>
            <w:vAlign w:val="center"/>
            <w:hideMark/>
          </w:tcPr>
          <w:p w14:paraId="527A5F10" w14:textId="77777777" w:rsidR="00C07F59" w:rsidRPr="001D7A16" w:rsidRDefault="00C07F59" w:rsidP="00BC2342">
            <w:pPr>
              <w:spacing w:after="0"/>
              <w:jc w:val="center"/>
              <w:rPr>
                <w:rFonts w:cstheme="minorHAnsi"/>
                <w:sz w:val="16"/>
                <w:szCs w:val="16"/>
              </w:rPr>
            </w:pPr>
            <w:r w:rsidRPr="001D7A16">
              <w:rPr>
                <w:rFonts w:cstheme="minorHAnsi"/>
                <w:sz w:val="16"/>
                <w:szCs w:val="16"/>
              </w:rPr>
              <w:t>2020</w:t>
            </w:r>
          </w:p>
        </w:tc>
        <w:tc>
          <w:tcPr>
            <w:tcW w:w="552" w:type="dxa"/>
            <w:tcBorders>
              <w:left w:val="single" w:sz="12" w:space="0" w:color="auto"/>
              <w:bottom w:val="single" w:sz="12" w:space="0" w:color="auto"/>
              <w:right w:val="single" w:sz="12" w:space="0" w:color="auto"/>
            </w:tcBorders>
            <w:shd w:val="clear" w:color="auto" w:fill="auto"/>
            <w:noWrap/>
            <w:vAlign w:val="center"/>
            <w:hideMark/>
          </w:tcPr>
          <w:p w14:paraId="3B9DC86C" w14:textId="77777777" w:rsidR="00C07F59" w:rsidRPr="001D7A16" w:rsidRDefault="00C07F59" w:rsidP="00BC2342">
            <w:pPr>
              <w:spacing w:after="0"/>
              <w:jc w:val="center"/>
              <w:rPr>
                <w:rFonts w:cstheme="minorHAnsi"/>
                <w:sz w:val="16"/>
                <w:szCs w:val="16"/>
              </w:rPr>
            </w:pPr>
            <w:r w:rsidRPr="001D7A16">
              <w:rPr>
                <w:rFonts w:cstheme="minorHAnsi"/>
                <w:sz w:val="16"/>
                <w:szCs w:val="16"/>
              </w:rPr>
              <w:t>1478</w:t>
            </w:r>
          </w:p>
        </w:tc>
        <w:tc>
          <w:tcPr>
            <w:tcW w:w="419" w:type="dxa"/>
            <w:tcBorders>
              <w:left w:val="single" w:sz="12" w:space="0" w:color="auto"/>
              <w:bottom w:val="single" w:sz="12" w:space="0" w:color="auto"/>
            </w:tcBorders>
            <w:shd w:val="clear" w:color="auto" w:fill="auto"/>
            <w:noWrap/>
            <w:vAlign w:val="center"/>
            <w:hideMark/>
          </w:tcPr>
          <w:p w14:paraId="2F1EA862"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246</w:t>
            </w:r>
          </w:p>
        </w:tc>
        <w:tc>
          <w:tcPr>
            <w:tcW w:w="707" w:type="dxa"/>
            <w:tcBorders>
              <w:bottom w:val="single" w:sz="12" w:space="0" w:color="auto"/>
            </w:tcBorders>
            <w:shd w:val="clear" w:color="000000" w:fill="548235"/>
            <w:noWrap/>
            <w:vAlign w:val="center"/>
            <w:hideMark/>
          </w:tcPr>
          <w:p w14:paraId="462E869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16,6</w:t>
            </w:r>
            <w:r>
              <w:rPr>
                <w:rFonts w:cstheme="minorHAnsi"/>
                <w:color w:val="000000"/>
                <w:sz w:val="16"/>
                <w:szCs w:val="16"/>
              </w:rPr>
              <w:t xml:space="preserve"> </w:t>
            </w:r>
            <w:r w:rsidRPr="00C07F59">
              <w:rPr>
                <w:rFonts w:cstheme="minorHAnsi"/>
                <w:color w:val="000000"/>
                <w:sz w:val="16"/>
                <w:szCs w:val="16"/>
              </w:rPr>
              <w:t>%</w:t>
            </w:r>
          </w:p>
        </w:tc>
        <w:tc>
          <w:tcPr>
            <w:tcW w:w="428" w:type="dxa"/>
            <w:tcBorders>
              <w:bottom w:val="single" w:sz="12" w:space="0" w:color="auto"/>
            </w:tcBorders>
            <w:shd w:val="clear" w:color="auto" w:fill="auto"/>
            <w:noWrap/>
            <w:vAlign w:val="center"/>
            <w:hideMark/>
          </w:tcPr>
          <w:p w14:paraId="01EDA07B"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809</w:t>
            </w:r>
          </w:p>
        </w:tc>
        <w:tc>
          <w:tcPr>
            <w:tcW w:w="706" w:type="dxa"/>
            <w:tcBorders>
              <w:bottom w:val="single" w:sz="12" w:space="0" w:color="auto"/>
            </w:tcBorders>
            <w:shd w:val="clear" w:color="000000" w:fill="70AD47"/>
            <w:noWrap/>
            <w:vAlign w:val="center"/>
            <w:hideMark/>
          </w:tcPr>
          <w:p w14:paraId="14323174"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54,7</w:t>
            </w:r>
            <w:r>
              <w:rPr>
                <w:rFonts w:cstheme="minorHAnsi"/>
                <w:color w:val="000000"/>
                <w:sz w:val="16"/>
                <w:szCs w:val="16"/>
              </w:rPr>
              <w:t xml:space="preserve"> </w:t>
            </w:r>
            <w:r w:rsidRPr="00C07F59">
              <w:rPr>
                <w:rFonts w:cstheme="minorHAnsi"/>
                <w:color w:val="000000"/>
                <w:sz w:val="16"/>
                <w:szCs w:val="16"/>
              </w:rPr>
              <w:t>%</w:t>
            </w:r>
          </w:p>
        </w:tc>
        <w:tc>
          <w:tcPr>
            <w:tcW w:w="425" w:type="dxa"/>
            <w:tcBorders>
              <w:bottom w:val="single" w:sz="12" w:space="0" w:color="auto"/>
            </w:tcBorders>
            <w:shd w:val="clear" w:color="auto" w:fill="auto"/>
            <w:noWrap/>
            <w:vAlign w:val="center"/>
            <w:hideMark/>
          </w:tcPr>
          <w:p w14:paraId="649FED68"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365</w:t>
            </w:r>
          </w:p>
        </w:tc>
        <w:tc>
          <w:tcPr>
            <w:tcW w:w="706" w:type="dxa"/>
            <w:tcBorders>
              <w:bottom w:val="single" w:sz="12" w:space="0" w:color="auto"/>
            </w:tcBorders>
            <w:shd w:val="clear" w:color="000000" w:fill="C6E0B4"/>
            <w:noWrap/>
            <w:vAlign w:val="center"/>
            <w:hideMark/>
          </w:tcPr>
          <w:p w14:paraId="66639D7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24,7</w:t>
            </w:r>
            <w:r>
              <w:rPr>
                <w:rFonts w:cstheme="minorHAnsi"/>
                <w:color w:val="000000"/>
                <w:sz w:val="16"/>
                <w:szCs w:val="16"/>
              </w:rPr>
              <w:t xml:space="preserve"> </w:t>
            </w:r>
            <w:r w:rsidRPr="00C07F59">
              <w:rPr>
                <w:rFonts w:cstheme="minorHAnsi"/>
                <w:color w:val="000000"/>
                <w:sz w:val="16"/>
                <w:szCs w:val="16"/>
              </w:rPr>
              <w:t>%</w:t>
            </w:r>
          </w:p>
        </w:tc>
        <w:tc>
          <w:tcPr>
            <w:tcW w:w="425" w:type="dxa"/>
            <w:tcBorders>
              <w:bottom w:val="single" w:sz="12" w:space="0" w:color="auto"/>
            </w:tcBorders>
            <w:shd w:val="clear" w:color="auto" w:fill="auto"/>
            <w:noWrap/>
            <w:vAlign w:val="center"/>
            <w:hideMark/>
          </w:tcPr>
          <w:p w14:paraId="169C297C"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48</w:t>
            </w:r>
          </w:p>
        </w:tc>
        <w:tc>
          <w:tcPr>
            <w:tcW w:w="706" w:type="dxa"/>
            <w:tcBorders>
              <w:bottom w:val="single" w:sz="12" w:space="0" w:color="auto"/>
            </w:tcBorders>
            <w:shd w:val="clear" w:color="000000" w:fill="B4C6E7"/>
            <w:noWrap/>
            <w:vAlign w:val="center"/>
            <w:hideMark/>
          </w:tcPr>
          <w:p w14:paraId="7FF0325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3,2</w:t>
            </w:r>
            <w:r>
              <w:rPr>
                <w:rFonts w:cstheme="minorHAnsi"/>
                <w:color w:val="000000"/>
                <w:sz w:val="16"/>
                <w:szCs w:val="16"/>
              </w:rPr>
              <w:t xml:space="preserve"> </w:t>
            </w:r>
            <w:r w:rsidRPr="00C07F59">
              <w:rPr>
                <w:rFonts w:cstheme="minorHAnsi"/>
                <w:color w:val="000000"/>
                <w:sz w:val="16"/>
                <w:szCs w:val="16"/>
              </w:rPr>
              <w:t>%</w:t>
            </w:r>
          </w:p>
        </w:tc>
        <w:tc>
          <w:tcPr>
            <w:tcW w:w="425" w:type="dxa"/>
            <w:gridSpan w:val="2"/>
            <w:tcBorders>
              <w:bottom w:val="single" w:sz="12" w:space="0" w:color="auto"/>
            </w:tcBorders>
            <w:shd w:val="clear" w:color="auto" w:fill="auto"/>
            <w:noWrap/>
            <w:vAlign w:val="center"/>
            <w:hideMark/>
          </w:tcPr>
          <w:p w14:paraId="3CC73713"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6</w:t>
            </w:r>
          </w:p>
        </w:tc>
        <w:tc>
          <w:tcPr>
            <w:tcW w:w="562" w:type="dxa"/>
            <w:tcBorders>
              <w:bottom w:val="single" w:sz="12" w:space="0" w:color="auto"/>
            </w:tcBorders>
            <w:shd w:val="clear" w:color="000000" w:fill="FFE699"/>
            <w:noWrap/>
            <w:vAlign w:val="center"/>
            <w:hideMark/>
          </w:tcPr>
          <w:p w14:paraId="4198B23D"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0,4</w:t>
            </w:r>
            <w:r>
              <w:rPr>
                <w:rFonts w:cstheme="minorHAnsi"/>
                <w:color w:val="000000"/>
                <w:sz w:val="16"/>
                <w:szCs w:val="16"/>
              </w:rPr>
              <w:t xml:space="preserve"> </w:t>
            </w:r>
            <w:r w:rsidRPr="00C07F59">
              <w:rPr>
                <w:rFonts w:cstheme="minorHAnsi"/>
                <w:color w:val="000000"/>
                <w:sz w:val="16"/>
                <w:szCs w:val="16"/>
              </w:rPr>
              <w:t>%</w:t>
            </w:r>
          </w:p>
        </w:tc>
        <w:tc>
          <w:tcPr>
            <w:tcW w:w="481" w:type="dxa"/>
            <w:gridSpan w:val="2"/>
            <w:tcBorders>
              <w:bottom w:val="single" w:sz="12" w:space="0" w:color="auto"/>
            </w:tcBorders>
            <w:shd w:val="clear" w:color="auto" w:fill="auto"/>
            <w:noWrap/>
            <w:vAlign w:val="center"/>
            <w:hideMark/>
          </w:tcPr>
          <w:p w14:paraId="19FA9BF0"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2</w:t>
            </w:r>
          </w:p>
        </w:tc>
        <w:tc>
          <w:tcPr>
            <w:tcW w:w="542" w:type="dxa"/>
            <w:tcBorders>
              <w:bottom w:val="single" w:sz="12" w:space="0" w:color="auto"/>
            </w:tcBorders>
            <w:shd w:val="clear" w:color="000000" w:fill="F4B084"/>
            <w:noWrap/>
            <w:vAlign w:val="center"/>
            <w:hideMark/>
          </w:tcPr>
          <w:p w14:paraId="3E3D0E7E"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0,1</w:t>
            </w:r>
            <w:r>
              <w:rPr>
                <w:rFonts w:cstheme="minorHAnsi"/>
                <w:color w:val="000000"/>
                <w:sz w:val="16"/>
                <w:szCs w:val="16"/>
              </w:rPr>
              <w:t xml:space="preserve"> </w:t>
            </w:r>
            <w:r w:rsidRPr="00C07F59">
              <w:rPr>
                <w:rFonts w:cstheme="minorHAnsi"/>
                <w:color w:val="000000"/>
                <w:sz w:val="16"/>
                <w:szCs w:val="16"/>
              </w:rPr>
              <w:t>%</w:t>
            </w:r>
          </w:p>
        </w:tc>
        <w:tc>
          <w:tcPr>
            <w:tcW w:w="222" w:type="dxa"/>
            <w:gridSpan w:val="2"/>
            <w:tcBorders>
              <w:bottom w:val="single" w:sz="12" w:space="0" w:color="auto"/>
            </w:tcBorders>
            <w:shd w:val="clear" w:color="auto" w:fill="auto"/>
            <w:noWrap/>
            <w:vAlign w:val="center"/>
            <w:hideMark/>
          </w:tcPr>
          <w:p w14:paraId="4761DC7A"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w:t>
            </w:r>
          </w:p>
        </w:tc>
        <w:tc>
          <w:tcPr>
            <w:tcW w:w="537" w:type="dxa"/>
            <w:gridSpan w:val="2"/>
            <w:tcBorders>
              <w:bottom w:val="single" w:sz="12" w:space="0" w:color="auto"/>
            </w:tcBorders>
            <w:shd w:val="clear" w:color="000000" w:fill="ED7D31"/>
            <w:noWrap/>
            <w:vAlign w:val="center"/>
            <w:hideMark/>
          </w:tcPr>
          <w:p w14:paraId="105412F5" w14:textId="77777777" w:rsidR="00C07F59" w:rsidRPr="00C07F59" w:rsidRDefault="00C07F59" w:rsidP="00BC2342">
            <w:pPr>
              <w:spacing w:after="0"/>
              <w:jc w:val="center"/>
              <w:rPr>
                <w:rFonts w:cstheme="minorHAnsi"/>
                <w:sz w:val="16"/>
                <w:szCs w:val="16"/>
              </w:rPr>
            </w:pPr>
            <w:r w:rsidRPr="00C07F59">
              <w:rPr>
                <w:rFonts w:cstheme="minorHAnsi"/>
                <w:color w:val="000000"/>
                <w:sz w:val="16"/>
                <w:szCs w:val="16"/>
              </w:rPr>
              <w:t>0,0</w:t>
            </w:r>
            <w:r>
              <w:rPr>
                <w:rFonts w:cstheme="minorHAnsi"/>
                <w:color w:val="000000"/>
                <w:sz w:val="16"/>
                <w:szCs w:val="16"/>
              </w:rPr>
              <w:t xml:space="preserve"> </w:t>
            </w:r>
            <w:r w:rsidRPr="00C07F59">
              <w:rPr>
                <w:rFonts w:cstheme="minorHAnsi"/>
                <w:color w:val="000000"/>
                <w:sz w:val="16"/>
                <w:szCs w:val="16"/>
              </w:rPr>
              <w:t>%</w:t>
            </w:r>
          </w:p>
        </w:tc>
        <w:tc>
          <w:tcPr>
            <w:tcW w:w="222" w:type="dxa"/>
            <w:gridSpan w:val="2"/>
            <w:tcBorders>
              <w:bottom w:val="single" w:sz="12" w:space="0" w:color="auto"/>
            </w:tcBorders>
            <w:shd w:val="clear" w:color="auto" w:fill="auto"/>
            <w:noWrap/>
            <w:vAlign w:val="center"/>
            <w:hideMark/>
          </w:tcPr>
          <w:p w14:paraId="0468044B" w14:textId="77777777" w:rsidR="00C07F59" w:rsidRPr="00C07F59" w:rsidRDefault="00C07F59" w:rsidP="00BC2342">
            <w:pPr>
              <w:spacing w:after="0"/>
              <w:rPr>
                <w:rFonts w:cstheme="minorHAnsi"/>
                <w:sz w:val="16"/>
                <w:szCs w:val="16"/>
              </w:rPr>
            </w:pPr>
            <w:r w:rsidRPr="00C07F59">
              <w:rPr>
                <w:rFonts w:cstheme="minorHAnsi"/>
                <w:color w:val="000000"/>
                <w:sz w:val="16"/>
                <w:szCs w:val="16"/>
              </w:rPr>
              <w:t>2</w:t>
            </w:r>
          </w:p>
        </w:tc>
        <w:tc>
          <w:tcPr>
            <w:tcW w:w="537" w:type="dxa"/>
            <w:tcBorders>
              <w:bottom w:val="single" w:sz="12" w:space="0" w:color="auto"/>
              <w:right w:val="single" w:sz="12" w:space="0" w:color="auto"/>
            </w:tcBorders>
            <w:shd w:val="clear" w:color="000000" w:fill="FF5050"/>
            <w:noWrap/>
            <w:vAlign w:val="center"/>
            <w:hideMark/>
          </w:tcPr>
          <w:p w14:paraId="25796912" w14:textId="77777777" w:rsidR="00C07F59" w:rsidRPr="00C07F59" w:rsidRDefault="00C07F59" w:rsidP="00BC2342">
            <w:pPr>
              <w:spacing w:after="0"/>
              <w:rPr>
                <w:rFonts w:cstheme="minorHAnsi"/>
                <w:sz w:val="16"/>
                <w:szCs w:val="16"/>
              </w:rPr>
            </w:pPr>
            <w:r w:rsidRPr="00C07F59">
              <w:rPr>
                <w:rFonts w:cstheme="minorHAnsi"/>
                <w:color w:val="000000"/>
                <w:sz w:val="16"/>
                <w:szCs w:val="16"/>
              </w:rPr>
              <w:t>0,1</w:t>
            </w:r>
            <w:r>
              <w:rPr>
                <w:rFonts w:cstheme="minorHAnsi"/>
                <w:color w:val="000000"/>
                <w:sz w:val="16"/>
                <w:szCs w:val="16"/>
              </w:rPr>
              <w:t xml:space="preserve"> </w:t>
            </w:r>
            <w:r w:rsidRPr="00C07F59">
              <w:rPr>
                <w:rFonts w:cstheme="minorHAnsi"/>
                <w:color w:val="000000"/>
                <w:sz w:val="16"/>
                <w:szCs w:val="16"/>
              </w:rPr>
              <w:t>%</w:t>
            </w:r>
          </w:p>
        </w:tc>
      </w:tr>
      <w:tr w:rsidR="00C07F59" w:rsidRPr="001D7A16" w14:paraId="087F4DFA" w14:textId="77777777" w:rsidTr="0057327C">
        <w:trPr>
          <w:trHeight w:val="315"/>
        </w:trPr>
        <w:tc>
          <w:tcPr>
            <w:tcW w:w="573" w:type="dxa"/>
            <w:tcBorders>
              <w:top w:val="single" w:sz="12" w:space="0" w:color="auto"/>
              <w:left w:val="single" w:sz="12" w:space="0" w:color="auto"/>
              <w:bottom w:val="single" w:sz="12" w:space="0" w:color="auto"/>
              <w:right w:val="single" w:sz="12" w:space="0" w:color="auto"/>
            </w:tcBorders>
            <w:shd w:val="clear" w:color="000000" w:fill="FFC000"/>
            <w:noWrap/>
            <w:vAlign w:val="center"/>
            <w:hideMark/>
          </w:tcPr>
          <w:p w14:paraId="207C34CA"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SPOLU</w:t>
            </w:r>
          </w:p>
        </w:tc>
        <w:tc>
          <w:tcPr>
            <w:tcW w:w="552" w:type="dxa"/>
            <w:tcBorders>
              <w:top w:val="single" w:sz="12" w:space="0" w:color="auto"/>
              <w:left w:val="single" w:sz="12" w:space="0" w:color="auto"/>
              <w:bottom w:val="single" w:sz="12" w:space="0" w:color="auto"/>
              <w:right w:val="single" w:sz="12" w:space="0" w:color="auto"/>
            </w:tcBorders>
            <w:shd w:val="clear" w:color="000000" w:fill="FFC000"/>
            <w:noWrap/>
            <w:vAlign w:val="center"/>
            <w:hideMark/>
          </w:tcPr>
          <w:p w14:paraId="5801E6F9" w14:textId="77777777" w:rsidR="00C07F59" w:rsidRPr="001D7A16" w:rsidRDefault="00C07F59" w:rsidP="00BC2342">
            <w:pPr>
              <w:spacing w:before="40" w:after="40"/>
              <w:jc w:val="center"/>
              <w:rPr>
                <w:rFonts w:cstheme="minorHAnsi"/>
                <w:sz w:val="16"/>
                <w:szCs w:val="16"/>
              </w:rPr>
            </w:pPr>
            <w:r w:rsidRPr="001D7A16">
              <w:rPr>
                <w:rFonts w:cstheme="minorHAnsi"/>
                <w:sz w:val="16"/>
                <w:szCs w:val="16"/>
              </w:rPr>
              <w:t>9460</w:t>
            </w:r>
          </w:p>
        </w:tc>
        <w:tc>
          <w:tcPr>
            <w:tcW w:w="419" w:type="dxa"/>
            <w:tcBorders>
              <w:top w:val="single" w:sz="12" w:space="0" w:color="auto"/>
              <w:left w:val="single" w:sz="12" w:space="0" w:color="auto"/>
              <w:bottom w:val="nil"/>
              <w:right w:val="nil"/>
            </w:tcBorders>
            <w:shd w:val="clear" w:color="auto" w:fill="auto"/>
            <w:noWrap/>
            <w:vAlign w:val="center"/>
            <w:hideMark/>
          </w:tcPr>
          <w:p w14:paraId="5C06C422" w14:textId="77777777" w:rsidR="00C07F59" w:rsidRPr="001D7A16" w:rsidRDefault="00C07F59" w:rsidP="0057327C">
            <w:pPr>
              <w:jc w:val="center"/>
              <w:rPr>
                <w:rFonts w:cstheme="minorHAnsi"/>
                <w:sz w:val="16"/>
                <w:szCs w:val="16"/>
              </w:rPr>
            </w:pPr>
          </w:p>
        </w:tc>
        <w:tc>
          <w:tcPr>
            <w:tcW w:w="707" w:type="dxa"/>
            <w:tcBorders>
              <w:top w:val="single" w:sz="12" w:space="0" w:color="auto"/>
              <w:left w:val="nil"/>
              <w:bottom w:val="nil"/>
              <w:right w:val="nil"/>
            </w:tcBorders>
            <w:shd w:val="clear" w:color="auto" w:fill="auto"/>
            <w:noWrap/>
            <w:vAlign w:val="center"/>
            <w:hideMark/>
          </w:tcPr>
          <w:p w14:paraId="0A9F38DA" w14:textId="77777777" w:rsidR="00C07F59" w:rsidRPr="001D7A16" w:rsidRDefault="00C07F59" w:rsidP="0057327C">
            <w:pPr>
              <w:jc w:val="center"/>
              <w:rPr>
                <w:rFonts w:cstheme="minorHAnsi"/>
                <w:sz w:val="16"/>
                <w:szCs w:val="16"/>
              </w:rPr>
            </w:pPr>
          </w:p>
        </w:tc>
        <w:tc>
          <w:tcPr>
            <w:tcW w:w="428" w:type="dxa"/>
            <w:tcBorders>
              <w:top w:val="single" w:sz="12" w:space="0" w:color="auto"/>
              <w:left w:val="nil"/>
              <w:bottom w:val="nil"/>
              <w:right w:val="nil"/>
            </w:tcBorders>
            <w:shd w:val="clear" w:color="auto" w:fill="auto"/>
            <w:noWrap/>
            <w:vAlign w:val="center"/>
            <w:hideMark/>
          </w:tcPr>
          <w:p w14:paraId="1954B746" w14:textId="77777777" w:rsidR="00C07F59" w:rsidRPr="001D7A16" w:rsidRDefault="00C07F59" w:rsidP="0057327C">
            <w:pPr>
              <w:jc w:val="center"/>
              <w:rPr>
                <w:rFonts w:cstheme="minorHAnsi"/>
                <w:sz w:val="16"/>
                <w:szCs w:val="16"/>
              </w:rPr>
            </w:pPr>
          </w:p>
        </w:tc>
        <w:tc>
          <w:tcPr>
            <w:tcW w:w="706" w:type="dxa"/>
            <w:tcBorders>
              <w:top w:val="single" w:sz="12" w:space="0" w:color="auto"/>
              <w:left w:val="nil"/>
              <w:bottom w:val="nil"/>
              <w:right w:val="nil"/>
            </w:tcBorders>
            <w:shd w:val="clear" w:color="auto" w:fill="auto"/>
            <w:noWrap/>
            <w:vAlign w:val="center"/>
            <w:hideMark/>
          </w:tcPr>
          <w:p w14:paraId="6207B51F" w14:textId="77777777" w:rsidR="00C07F59" w:rsidRPr="001D7A16" w:rsidRDefault="00C07F59" w:rsidP="0057327C">
            <w:pPr>
              <w:jc w:val="center"/>
              <w:rPr>
                <w:rFonts w:cstheme="minorHAnsi"/>
                <w:sz w:val="16"/>
                <w:szCs w:val="16"/>
              </w:rPr>
            </w:pPr>
          </w:p>
        </w:tc>
        <w:tc>
          <w:tcPr>
            <w:tcW w:w="425" w:type="dxa"/>
            <w:tcBorders>
              <w:top w:val="single" w:sz="12" w:space="0" w:color="auto"/>
              <w:left w:val="nil"/>
              <w:bottom w:val="nil"/>
              <w:right w:val="nil"/>
            </w:tcBorders>
            <w:shd w:val="clear" w:color="auto" w:fill="auto"/>
            <w:noWrap/>
            <w:vAlign w:val="center"/>
            <w:hideMark/>
          </w:tcPr>
          <w:p w14:paraId="5CBC450B" w14:textId="77777777" w:rsidR="00C07F59" w:rsidRPr="001D7A16" w:rsidRDefault="00C07F59" w:rsidP="0057327C">
            <w:pPr>
              <w:jc w:val="center"/>
              <w:rPr>
                <w:rFonts w:cstheme="minorHAnsi"/>
                <w:sz w:val="16"/>
                <w:szCs w:val="16"/>
              </w:rPr>
            </w:pPr>
          </w:p>
        </w:tc>
        <w:tc>
          <w:tcPr>
            <w:tcW w:w="706" w:type="dxa"/>
            <w:tcBorders>
              <w:top w:val="single" w:sz="12" w:space="0" w:color="auto"/>
              <w:left w:val="nil"/>
              <w:bottom w:val="nil"/>
              <w:right w:val="nil"/>
            </w:tcBorders>
            <w:shd w:val="clear" w:color="auto" w:fill="auto"/>
            <w:noWrap/>
            <w:vAlign w:val="center"/>
            <w:hideMark/>
          </w:tcPr>
          <w:p w14:paraId="3DB1AE95" w14:textId="77777777" w:rsidR="00C07F59" w:rsidRPr="001D7A16" w:rsidRDefault="00C07F59" w:rsidP="0057327C">
            <w:pPr>
              <w:jc w:val="center"/>
              <w:rPr>
                <w:rFonts w:cstheme="minorHAnsi"/>
                <w:sz w:val="16"/>
                <w:szCs w:val="16"/>
              </w:rPr>
            </w:pPr>
          </w:p>
        </w:tc>
        <w:tc>
          <w:tcPr>
            <w:tcW w:w="425" w:type="dxa"/>
            <w:tcBorders>
              <w:top w:val="single" w:sz="12" w:space="0" w:color="auto"/>
              <w:left w:val="nil"/>
              <w:bottom w:val="nil"/>
              <w:right w:val="nil"/>
            </w:tcBorders>
            <w:shd w:val="clear" w:color="auto" w:fill="auto"/>
            <w:noWrap/>
            <w:vAlign w:val="center"/>
            <w:hideMark/>
          </w:tcPr>
          <w:p w14:paraId="64836012" w14:textId="77777777" w:rsidR="00C07F59" w:rsidRPr="001D7A16" w:rsidRDefault="00C07F59" w:rsidP="0057327C">
            <w:pPr>
              <w:jc w:val="center"/>
              <w:rPr>
                <w:rFonts w:cstheme="minorHAnsi"/>
                <w:sz w:val="16"/>
                <w:szCs w:val="16"/>
              </w:rPr>
            </w:pPr>
          </w:p>
        </w:tc>
        <w:tc>
          <w:tcPr>
            <w:tcW w:w="706" w:type="dxa"/>
            <w:tcBorders>
              <w:top w:val="single" w:sz="12" w:space="0" w:color="auto"/>
              <w:left w:val="nil"/>
              <w:bottom w:val="nil"/>
              <w:right w:val="nil"/>
            </w:tcBorders>
            <w:shd w:val="clear" w:color="auto" w:fill="auto"/>
            <w:noWrap/>
            <w:vAlign w:val="center"/>
            <w:hideMark/>
          </w:tcPr>
          <w:p w14:paraId="1F09797E" w14:textId="77777777" w:rsidR="00C07F59" w:rsidRPr="001D7A16" w:rsidRDefault="00C07F59" w:rsidP="0057327C">
            <w:pPr>
              <w:jc w:val="center"/>
              <w:rPr>
                <w:rFonts w:cstheme="minorHAnsi"/>
                <w:sz w:val="16"/>
                <w:szCs w:val="16"/>
              </w:rPr>
            </w:pPr>
          </w:p>
        </w:tc>
        <w:tc>
          <w:tcPr>
            <w:tcW w:w="303" w:type="dxa"/>
            <w:tcBorders>
              <w:top w:val="single" w:sz="12" w:space="0" w:color="auto"/>
              <w:left w:val="nil"/>
              <w:bottom w:val="nil"/>
              <w:right w:val="nil"/>
            </w:tcBorders>
            <w:shd w:val="clear" w:color="auto" w:fill="auto"/>
            <w:noWrap/>
            <w:vAlign w:val="center"/>
            <w:hideMark/>
          </w:tcPr>
          <w:p w14:paraId="4986A047" w14:textId="77777777" w:rsidR="00C07F59" w:rsidRPr="001D7A16" w:rsidRDefault="00C07F59" w:rsidP="0057327C">
            <w:pPr>
              <w:jc w:val="center"/>
              <w:rPr>
                <w:rFonts w:cstheme="minorHAnsi"/>
                <w:sz w:val="16"/>
                <w:szCs w:val="16"/>
              </w:rPr>
            </w:pPr>
          </w:p>
        </w:tc>
        <w:tc>
          <w:tcPr>
            <w:tcW w:w="684" w:type="dxa"/>
            <w:gridSpan w:val="2"/>
            <w:tcBorders>
              <w:top w:val="single" w:sz="12" w:space="0" w:color="auto"/>
              <w:left w:val="nil"/>
              <w:bottom w:val="nil"/>
              <w:right w:val="nil"/>
            </w:tcBorders>
            <w:shd w:val="clear" w:color="auto" w:fill="auto"/>
            <w:noWrap/>
            <w:vAlign w:val="center"/>
            <w:hideMark/>
          </w:tcPr>
          <w:p w14:paraId="4CBFA4E6" w14:textId="77777777" w:rsidR="00C07F59" w:rsidRPr="001D7A16" w:rsidRDefault="00C07F59" w:rsidP="0057327C">
            <w:pPr>
              <w:jc w:val="center"/>
              <w:rPr>
                <w:rFonts w:cstheme="minorHAnsi"/>
                <w:sz w:val="16"/>
                <w:szCs w:val="16"/>
              </w:rPr>
            </w:pPr>
          </w:p>
        </w:tc>
        <w:tc>
          <w:tcPr>
            <w:tcW w:w="359" w:type="dxa"/>
            <w:tcBorders>
              <w:top w:val="single" w:sz="12" w:space="0" w:color="auto"/>
              <w:left w:val="nil"/>
              <w:bottom w:val="nil"/>
              <w:right w:val="nil"/>
            </w:tcBorders>
            <w:shd w:val="clear" w:color="auto" w:fill="auto"/>
            <w:noWrap/>
            <w:vAlign w:val="center"/>
            <w:hideMark/>
          </w:tcPr>
          <w:p w14:paraId="6F25F4FA" w14:textId="77777777" w:rsidR="00C07F59" w:rsidRPr="001D7A16" w:rsidRDefault="00C07F59" w:rsidP="0057327C">
            <w:pPr>
              <w:jc w:val="center"/>
              <w:rPr>
                <w:rFonts w:cstheme="minorHAnsi"/>
                <w:sz w:val="16"/>
                <w:szCs w:val="16"/>
              </w:rPr>
            </w:pPr>
          </w:p>
        </w:tc>
        <w:tc>
          <w:tcPr>
            <w:tcW w:w="664" w:type="dxa"/>
            <w:gridSpan w:val="2"/>
            <w:tcBorders>
              <w:top w:val="single" w:sz="12" w:space="0" w:color="auto"/>
              <w:left w:val="nil"/>
              <w:bottom w:val="nil"/>
              <w:right w:val="nil"/>
            </w:tcBorders>
            <w:shd w:val="clear" w:color="auto" w:fill="auto"/>
            <w:noWrap/>
            <w:vAlign w:val="center"/>
            <w:hideMark/>
          </w:tcPr>
          <w:p w14:paraId="1E340A77" w14:textId="77777777" w:rsidR="00C07F59" w:rsidRPr="001D7A16" w:rsidRDefault="00C07F59" w:rsidP="0057327C">
            <w:pPr>
              <w:jc w:val="center"/>
              <w:rPr>
                <w:rFonts w:cstheme="minorHAnsi"/>
                <w:sz w:val="16"/>
                <w:szCs w:val="16"/>
              </w:rPr>
            </w:pPr>
          </w:p>
        </w:tc>
        <w:tc>
          <w:tcPr>
            <w:tcW w:w="160" w:type="dxa"/>
            <w:tcBorders>
              <w:top w:val="single" w:sz="12" w:space="0" w:color="auto"/>
              <w:left w:val="nil"/>
              <w:bottom w:val="nil"/>
              <w:right w:val="nil"/>
            </w:tcBorders>
            <w:shd w:val="clear" w:color="auto" w:fill="auto"/>
            <w:noWrap/>
            <w:vAlign w:val="center"/>
            <w:hideMark/>
          </w:tcPr>
          <w:p w14:paraId="4D824395" w14:textId="77777777" w:rsidR="00C07F59" w:rsidRPr="001D7A16" w:rsidRDefault="00C07F59" w:rsidP="0057327C">
            <w:pPr>
              <w:jc w:val="center"/>
              <w:rPr>
                <w:rFonts w:cstheme="minorHAnsi"/>
                <w:sz w:val="16"/>
                <w:szCs w:val="16"/>
              </w:rPr>
            </w:pPr>
          </w:p>
        </w:tc>
        <w:tc>
          <w:tcPr>
            <w:tcW w:w="537" w:type="dxa"/>
            <w:gridSpan w:val="2"/>
            <w:tcBorders>
              <w:top w:val="single" w:sz="12" w:space="0" w:color="auto"/>
              <w:left w:val="nil"/>
              <w:bottom w:val="nil"/>
              <w:right w:val="nil"/>
            </w:tcBorders>
            <w:shd w:val="clear" w:color="auto" w:fill="auto"/>
            <w:noWrap/>
            <w:vAlign w:val="center"/>
            <w:hideMark/>
          </w:tcPr>
          <w:p w14:paraId="1967887E" w14:textId="77777777" w:rsidR="00C07F59" w:rsidRPr="001D7A16" w:rsidRDefault="00C07F59" w:rsidP="0057327C">
            <w:pPr>
              <w:jc w:val="center"/>
              <w:rPr>
                <w:rFonts w:cstheme="minorHAnsi"/>
                <w:sz w:val="16"/>
                <w:szCs w:val="16"/>
              </w:rPr>
            </w:pPr>
          </w:p>
        </w:tc>
        <w:tc>
          <w:tcPr>
            <w:tcW w:w="222" w:type="dxa"/>
            <w:gridSpan w:val="2"/>
            <w:tcBorders>
              <w:top w:val="single" w:sz="12" w:space="0" w:color="auto"/>
              <w:left w:val="nil"/>
              <w:bottom w:val="nil"/>
              <w:right w:val="nil"/>
            </w:tcBorders>
            <w:shd w:val="clear" w:color="auto" w:fill="auto"/>
            <w:noWrap/>
            <w:vAlign w:val="bottom"/>
            <w:hideMark/>
          </w:tcPr>
          <w:p w14:paraId="33EC09B0" w14:textId="77777777" w:rsidR="00C07F59" w:rsidRPr="001D7A16" w:rsidRDefault="00C07F59" w:rsidP="0057327C">
            <w:pPr>
              <w:rPr>
                <w:rFonts w:cstheme="minorHAnsi"/>
                <w:sz w:val="16"/>
                <w:szCs w:val="16"/>
              </w:rPr>
            </w:pPr>
          </w:p>
        </w:tc>
        <w:tc>
          <w:tcPr>
            <w:tcW w:w="659" w:type="dxa"/>
            <w:gridSpan w:val="3"/>
            <w:tcBorders>
              <w:top w:val="nil"/>
              <w:left w:val="nil"/>
              <w:bottom w:val="nil"/>
              <w:right w:val="nil"/>
            </w:tcBorders>
            <w:shd w:val="clear" w:color="auto" w:fill="auto"/>
            <w:noWrap/>
            <w:vAlign w:val="bottom"/>
            <w:hideMark/>
          </w:tcPr>
          <w:p w14:paraId="013C7C75" w14:textId="77777777" w:rsidR="00C07F59" w:rsidRPr="001D7A16" w:rsidRDefault="00C07F59" w:rsidP="0057327C">
            <w:pPr>
              <w:rPr>
                <w:rFonts w:cstheme="minorHAnsi"/>
                <w:sz w:val="16"/>
                <w:szCs w:val="16"/>
              </w:rPr>
            </w:pPr>
          </w:p>
        </w:tc>
      </w:tr>
    </w:tbl>
    <w:p w14:paraId="68BFDFF8" w14:textId="7EFC1406" w:rsidR="00FB3162" w:rsidRDefault="00FB3162" w:rsidP="00FB3162">
      <w:pPr>
        <w:spacing w:before="120"/>
      </w:pPr>
      <w:r>
        <w:t>Zdroj: inforeg.sk, vlastná úprava</w:t>
      </w:r>
    </w:p>
    <w:p w14:paraId="00FF23D7" w14:textId="77777777" w:rsidR="00FB3162" w:rsidRDefault="00FB3162" w:rsidP="00FB3162">
      <w:pPr>
        <w:pStyle w:val="Nadpis2"/>
        <w:numPr>
          <w:ilvl w:val="1"/>
          <w:numId w:val="14"/>
        </w:numPr>
        <w:ind w:left="357" w:hanging="357"/>
      </w:pPr>
      <w:bookmarkStart w:id="7" w:name="_Toc62576766"/>
      <w:r>
        <w:t>Zhodnotenie potenciálu pre obnovu rodinných domov</w:t>
      </w:r>
      <w:bookmarkEnd w:id="7"/>
    </w:p>
    <w:p w14:paraId="1B6B943C" w14:textId="5EDB59BB" w:rsidR="008A76CC" w:rsidRDefault="008A76CC" w:rsidP="008A76CC">
      <w:pPr>
        <w:jc w:val="both"/>
      </w:pPr>
      <w:r>
        <w:t xml:space="preserve">Podľa dostupných štatistík a odborných odhadov MDV SR možno zhodnotiť, že počet obývaných bytov v rodinných domoch, ktoré neprešli žiadnou obnovou a sú staršie ako 10 rokov je 405 482. Na základe odborného odhadu a prepočtu podľa počtu rodinných domov a bytov v SOBD 2011 možno predpokladať, že sa jedná o približne 390 000 rodinných domov. </w:t>
      </w:r>
      <w:r w:rsidR="005C2C92" w:rsidRPr="005C2C92">
        <w:rPr>
          <w:b/>
          <w:bCs/>
        </w:rPr>
        <w:t>K roku 2020 ponúka p</w:t>
      </w:r>
      <w:r w:rsidRPr="005C2C92">
        <w:rPr>
          <w:b/>
          <w:bCs/>
        </w:rPr>
        <w:t>riestor</w:t>
      </w:r>
      <w:r w:rsidRPr="00A67260">
        <w:rPr>
          <w:b/>
          <w:bCs/>
        </w:rPr>
        <w:t xml:space="preserve"> na hĺbkovú obnovu teda približne 390 000 rodinných domov</w:t>
      </w:r>
      <w:r w:rsidR="005C2C92">
        <w:rPr>
          <w:b/>
          <w:bCs/>
        </w:rPr>
        <w:t xml:space="preserve"> </w:t>
      </w:r>
      <w:r w:rsidR="005C2C92" w:rsidRPr="005C2C92">
        <w:t>(je však nutné uviesť, že počet rodinných domov, ktoré bude treba obnoviť do roku 2030 sa bude vyvíjať z dôvodu prirodzeného úbytku a potreby obnovy rodinných domov postavených po roku 2000).</w:t>
      </w:r>
    </w:p>
    <w:p w14:paraId="7132CB8B" w14:textId="4FCD798A" w:rsidR="008A76CC" w:rsidRPr="0035073A" w:rsidRDefault="008A76CC" w:rsidP="008A76CC">
      <w:pPr>
        <w:jc w:val="both"/>
      </w:pPr>
      <w:r>
        <w:t>Z prieskumu realizovaného pre platformu BPB vyplýva, že z</w:t>
      </w:r>
      <w:r w:rsidRPr="008A76CC">
        <w:t xml:space="preserve">áujem o obnovu </w:t>
      </w:r>
      <w:r>
        <w:t xml:space="preserve">rodinných </w:t>
      </w:r>
      <w:r w:rsidRPr="008A76CC">
        <w:t>dom</w:t>
      </w:r>
      <w:r>
        <w:t>ov</w:t>
      </w:r>
      <w:r w:rsidRPr="008A76CC">
        <w:t xml:space="preserve"> </w:t>
      </w:r>
      <w:r>
        <w:t xml:space="preserve">zo strany vlastníkov je </w:t>
      </w:r>
      <w:r w:rsidRPr="008A76CC">
        <w:t xml:space="preserve">v najbližších dvoch rokoch </w:t>
      </w:r>
      <w:r>
        <w:t xml:space="preserve">naozaj veľký. </w:t>
      </w:r>
      <w:r w:rsidRPr="00A67260">
        <w:rPr>
          <w:b/>
          <w:bCs/>
        </w:rPr>
        <w:t>Štyria z desiatich vlastníkov rodinného domu staršieho ako 10 rokov plánujú v najbližších dvoch rokoch na svojom dome nejaký typ obnovy</w:t>
      </w:r>
      <w:r w:rsidRPr="0035073A">
        <w:t>. Najčastejšie je medzi stavebníkmi plánovaná obnova fasády. 35 percent ľudí plánuje opravovať podlahy či suterén. Výmenu vykurovacieho systému</w:t>
      </w:r>
      <w:r>
        <w:t>, kde hovoríme o novom efektívnejšom kotl</w:t>
      </w:r>
      <w:r w:rsidR="00274137">
        <w:t>i,</w:t>
      </w:r>
      <w:r>
        <w:t xml:space="preserve"> poprípade využití tepelného čerpadla alebo solárnych panelov, </w:t>
      </w:r>
      <w:r w:rsidRPr="0035073A">
        <w:t>by v najbližších dvoch rokoch chcela realizovať asi tretina.</w:t>
      </w:r>
      <w:r>
        <w:t xml:space="preserve"> Rovnako veľká časť plánuje zatepliť, vymeniť alebo opraviť svoju strechu. </w:t>
      </w:r>
    </w:p>
    <w:p w14:paraId="44B79772" w14:textId="77777777" w:rsidR="008A76CC" w:rsidRPr="0035073A" w:rsidRDefault="008A76CC" w:rsidP="008A76CC">
      <w:pPr>
        <w:jc w:val="both"/>
      </w:pPr>
      <w:r w:rsidRPr="00A67260">
        <w:rPr>
          <w:b/>
          <w:bCs/>
        </w:rPr>
        <w:t>Obnova domu je naplánovaná v dvoch tretinách prípadov naraz – intenzívne počas niekoľkých týždňov, teda v rámci jednej väčšej opravy.</w:t>
      </w:r>
      <w:r>
        <w:t xml:space="preserve"> Hlavným dôvodom je pre stavebníkov, že chcú mať obnovu vybavenú naraz a efektívne. </w:t>
      </w:r>
      <w:r w:rsidRPr="00CA3785">
        <w:t xml:space="preserve">Naopak, </w:t>
      </w:r>
      <w:r>
        <w:t>približne</w:t>
      </w:r>
      <w:r w:rsidRPr="00CA3785">
        <w:t xml:space="preserve"> tretina opýtaných plánuje </w:t>
      </w:r>
      <w:r>
        <w:t>obnovu svojho</w:t>
      </w:r>
      <w:r w:rsidRPr="00CA3785">
        <w:t xml:space="preserve"> dom</w:t>
      </w:r>
      <w:r>
        <w:t>u</w:t>
      </w:r>
      <w:r w:rsidRPr="00CA3785">
        <w:t xml:space="preserve"> po častiach počas dlhšieho obdobia</w:t>
      </w:r>
      <w:r>
        <w:t xml:space="preserve">, </w:t>
      </w:r>
      <w:r w:rsidRPr="00CA3785">
        <w:t>v trvaní niekoľkých mesiacov až rokov</w:t>
      </w:r>
      <w:r>
        <w:t xml:space="preserve">. Väčšina z nich sa pre túto možnosť rozhodla z toho dôvodu, že by im väčšia renovácia príliš obmedzila ich bývanie. 36 percent z nich však obnovu po častiach muselo zvoliť z dôvodu, že na rozsiahlejšiu obnovu jednoducho nemajú dostatok financií. </w:t>
      </w:r>
    </w:p>
    <w:p w14:paraId="0930CD10" w14:textId="21812EDC" w:rsidR="008A76CC" w:rsidRDefault="008A76CC" w:rsidP="008A76CC">
      <w:pPr>
        <w:jc w:val="both"/>
      </w:pPr>
      <w:r w:rsidRPr="00A67260">
        <w:rPr>
          <w:b/>
          <w:bCs/>
        </w:rPr>
        <w:t>Zvýšenie komfortu bývania a kvalitnejšie vnútorné prostredie považujú vlastníci rodinných domov za najdôležitejší faktor pri uvažovaní o jeho obnove.</w:t>
      </w:r>
      <w:r>
        <w:t xml:space="preserve"> Dôležitým argumentom je taktiež zvýšenie hodnoty nehnuteľnosti a úspora výdavkov na energie. Čoraz častejším dôvodom, prečo ľudia začnú uvažovať o obnove sa stáva aj adaptácia domu na letné horúčavy. Z prieskumu vyplýva, že si vlastníci rodinných domov v súčasnosti viac uvedomujú problém s letným prehrievaním než tomu bolo v minulých rokoch. Dôležitejšou informáciu však je to, čo vlastníkov nakoniec presvedčilo, že sa chcú do obnovy naozaj pustiť. Aj v tomto prípade najviac respondentov (až štvrtina) uviedla, že zlé vnútorné </w:t>
      </w:r>
      <w:r>
        <w:lastRenderedPageBreak/>
        <w:t xml:space="preserve">prostredie v dome bol faktor, ktorý rozhodol o tom, že sa v najbližších rokoch chcú pustiť do obnovy. Pätina tvrdí, že ich presvedčila výhodná ponuka alebo akcia na stavebný materiál či službu. Rovnako veľká časť sa rozhodla pre obnovu kvôli zlému technickému stavu domu, ktorý je nutné čím skôr riešiť. </w:t>
      </w:r>
    </w:p>
    <w:p w14:paraId="18C2401F" w14:textId="18BC757B" w:rsidR="008A76CC" w:rsidRPr="009F49C2" w:rsidRDefault="008A76CC" w:rsidP="008A76CC">
      <w:pPr>
        <w:jc w:val="both"/>
      </w:pPr>
      <w:r w:rsidRPr="008A76CC">
        <w:rPr>
          <w:b/>
          <w:bCs/>
        </w:rPr>
        <w:t xml:space="preserve">Až 26 percent respondentov uviedlo, že plánovanú obnovu majú záujem financovať s využitím štátnej dotácie. </w:t>
      </w:r>
      <w:r>
        <w:t xml:space="preserve">Podľa prieskumu však v minulosti využili na rekonštrukciu domu jednu z dotácií od štátu len tri percentá stavebníkov. Jedná sa prevažne o úver zo Štátneho fondu rozvoja bývania, dotácia na obnoviteľný zdroj energie z programu „zelená domácnostiam“ alebo dotácia na zatepľovanie z programu Ministerstva dopravy a výstavby. Hlavnými dôvodmi nezáujmu o využitie dotácie bola zložitosť vybavovania dotácie a fakt, že o takejto možnosti stavebníci nevedeli.  Tieto odpovede označilo zhodne 23 percent opýtaných. Takmer pätina opýtaných uvádza, že štátnu dotáciu na obnovu nevyužili, pretože mali obavu z toho, že dotáciu nakoniec nedostanú. </w:t>
      </w:r>
      <w:r w:rsidRPr="009F49C2">
        <w:t>Ich rozhodnutie o nevyužití štátnych dotačných programov pri renovácii, by najčastejšie zmenil</w:t>
      </w:r>
      <w:r w:rsidR="00274137">
        <w:t>a</w:t>
      </w:r>
      <w:r w:rsidRPr="009F49C2">
        <w:t xml:space="preserve"> istota automatického získania dotácie pri splnení podmienok a nižšia administratívna náročnosť programov. Obe podmienky vybrala </w:t>
      </w:r>
      <w:r>
        <w:t xml:space="preserve">až </w:t>
      </w:r>
      <w:r w:rsidRPr="009F49C2">
        <w:t xml:space="preserve">polovica respondentov. </w:t>
      </w:r>
    </w:p>
    <w:p w14:paraId="6F229A9C" w14:textId="77777777" w:rsidR="008A76CC" w:rsidRDefault="008A76CC" w:rsidP="008A76CC">
      <w:pPr>
        <w:jc w:val="both"/>
      </w:pPr>
      <w:r w:rsidRPr="008A76CC">
        <w:rPr>
          <w:b/>
          <w:bCs/>
        </w:rPr>
        <w:t>Renovácia domu je však vo väčšine plánovaná z vlastných úspor. Uvádzajú to viac ako tri štvrtiny respondentov (78 %).</w:t>
      </w:r>
      <w:r w:rsidRPr="008B6364">
        <w:t xml:space="preserve">  Štvrtina respondentov plánuje financovať </w:t>
      </w:r>
      <w:r>
        <w:t>obnovu</w:t>
      </w:r>
      <w:r w:rsidRPr="008B6364">
        <w:t xml:space="preserve"> v kombinácií s úverom zo stavebného sporenia (25</w:t>
      </w:r>
      <w:r>
        <w:t xml:space="preserve"> </w:t>
      </w:r>
      <w:r w:rsidRPr="008B6364">
        <w:t>%). Bežný úver z banky chce využiť 15</w:t>
      </w:r>
      <w:r>
        <w:t xml:space="preserve"> percent z nich,</w:t>
      </w:r>
      <w:r w:rsidRPr="008B6364">
        <w:t xml:space="preserve"> a s výpožičkou od svojej rodiny či priateľov počíta desatina respondentov.</w:t>
      </w:r>
      <w:r>
        <w:t xml:space="preserve"> Pokiaľ sa pozrieme na to, koľko finančných prostriedkov plánujú stavebníci na obnovu vynaložiť, tak viac ako polovica (57 %) uvádza sumu do 10 tisíc eur. </w:t>
      </w:r>
    </w:p>
    <w:p w14:paraId="303799C8" w14:textId="4908EA04" w:rsidR="008A76CC" w:rsidRDefault="008A76CC" w:rsidP="008A76CC">
      <w:pPr>
        <w:jc w:val="both"/>
      </w:pPr>
      <w:r>
        <w:t xml:space="preserve">Ako bolo zmienené v predchádzajúcej kapitole, veľkým nedostatkom pri obnovách rodinných domov je zlá kvalita zapríčinená neodbornosťou. </w:t>
      </w:r>
      <w:r w:rsidRPr="00A67260">
        <w:rPr>
          <w:b/>
          <w:bCs/>
        </w:rPr>
        <w:t>Približne tretina opýtaných však plánuje realizovať danú obnovu rodinného domu stavebnou firmou.</w:t>
      </w:r>
      <w:r w:rsidRPr="00CA3785">
        <w:t xml:space="preserve"> Podobne veľký podiel respondentov </w:t>
      </w:r>
      <w:r>
        <w:t>(</w:t>
      </w:r>
      <w:r w:rsidRPr="00CA3785">
        <w:t>27</w:t>
      </w:r>
      <w:r>
        <w:t xml:space="preserve"> </w:t>
      </w:r>
      <w:r w:rsidRPr="00CA3785">
        <w:t>%</w:t>
      </w:r>
      <w:r>
        <w:t xml:space="preserve">) </w:t>
      </w:r>
      <w:r w:rsidRPr="00CA3785">
        <w:t xml:space="preserve">plánuje </w:t>
      </w:r>
      <w:r>
        <w:t>renovačné práce</w:t>
      </w:r>
      <w:r w:rsidRPr="00CA3785">
        <w:t xml:space="preserve"> </w:t>
      </w:r>
      <w:r>
        <w:t xml:space="preserve">vykonať </w:t>
      </w:r>
      <w:r w:rsidRPr="00CA3785">
        <w:t>svojpomocne a čiastočne za pomoci stavebnej firmy</w:t>
      </w:r>
      <w:r>
        <w:t>.</w:t>
      </w:r>
      <w:r w:rsidRPr="00CA3785">
        <w:t xml:space="preserve"> Za pomoci rodiny, priateľov a známych plánuje renováciu realizovať 18</w:t>
      </w:r>
      <w:r>
        <w:t xml:space="preserve"> percent</w:t>
      </w:r>
      <w:r w:rsidRPr="00CA3785">
        <w:t xml:space="preserve"> opýtaných a ďalších 16</w:t>
      </w:r>
      <w:r>
        <w:t xml:space="preserve"> percent</w:t>
      </w:r>
      <w:r w:rsidRPr="00CA3785">
        <w:t xml:space="preserve"> respondentov </w:t>
      </w:r>
      <w:r>
        <w:t>chce využiť na obnovu</w:t>
      </w:r>
      <w:r w:rsidRPr="00CA3785">
        <w:t xml:space="preserve"> prevažne pracovník</w:t>
      </w:r>
      <w:r>
        <w:t xml:space="preserve">ov </w:t>
      </w:r>
      <w:r w:rsidRPr="00CA3785">
        <w:t>stavebnej firmy. Výlučne svojpomocne má renováciu naplánovaných len 7 percent opýtaných.</w:t>
      </w:r>
    </w:p>
    <w:p w14:paraId="63256A57" w14:textId="454C0DBE" w:rsidR="008A76CC" w:rsidRPr="00CD0485" w:rsidRDefault="008A76CC" w:rsidP="008A76CC">
      <w:pPr>
        <w:tabs>
          <w:tab w:val="num" w:pos="720"/>
        </w:tabs>
        <w:spacing w:before="240" w:after="120"/>
        <w:jc w:val="both"/>
      </w:pPr>
      <w:r w:rsidRPr="008A76CC">
        <w:rPr>
          <w:b/>
          <w:bCs/>
        </w:rPr>
        <w:t>Podľa prieskumu sa takmer polovica chce o obnove poradiť s odborníkom.</w:t>
      </w:r>
      <w:r>
        <w:rPr>
          <w:b/>
          <w:bCs/>
          <w:i/>
          <w:iCs/>
        </w:rPr>
        <w:t xml:space="preserve"> </w:t>
      </w:r>
      <w:r>
        <w:t>Pri získavaní</w:t>
      </w:r>
      <w:r w:rsidRPr="00CD0485">
        <w:t xml:space="preserve"> informácií o</w:t>
      </w:r>
      <w:r>
        <w:t> tom ako postupovať pri rekonštrukcii</w:t>
      </w:r>
      <w:r w:rsidRPr="00CD0485">
        <w:t xml:space="preserve"> domu jednoznačne dominujú osobná výmena informácií pred neosobným a pasívnym príjmom informácií. Približne polovica opýtaných uvádza, že si v súvislosti s renováciou svojho domu plánujú nájsť stavbára (stavebnú firmu) a poradiť sa s ním (47</w:t>
      </w:r>
      <w:r>
        <w:t xml:space="preserve"> </w:t>
      </w:r>
      <w:r w:rsidRPr="00CD0485">
        <w:t>%). Na známych, ktorí sami rekonštruovali, sa plánuje obrátiť až 40</w:t>
      </w:r>
      <w:r>
        <w:t xml:space="preserve"> percent</w:t>
      </w:r>
      <w:r w:rsidRPr="00CD0485">
        <w:t xml:space="preserve"> opýtaných. Podobne 40</w:t>
      </w:r>
      <w:r>
        <w:t xml:space="preserve"> percent</w:t>
      </w:r>
      <w:r w:rsidRPr="00CD0485">
        <w:t xml:space="preserve"> opýtaných sa podrobnosti plánuje dozvedieť od známych či členov rodiny, ktorí v stavebníctve pracujú. Vo výrazne menšej miere sú v súvislosti s plánovanou renováciou domu uvádzané radenie sa s energetickým špecialistom alebo projektantom</w:t>
      </w:r>
      <w:r>
        <w:t xml:space="preserve">, </w:t>
      </w:r>
      <w:r w:rsidRPr="00CD0485">
        <w:t>odborné články na špecializovaných portáloch</w:t>
      </w:r>
      <w:r>
        <w:t xml:space="preserve"> či rôzne </w:t>
      </w:r>
      <w:r w:rsidRPr="00CD0485">
        <w:t>diskusné fóra</w:t>
      </w:r>
      <w:r>
        <w:t>, rady a videá na internete.</w:t>
      </w:r>
    </w:p>
    <w:p w14:paraId="76066B66" w14:textId="77777777" w:rsidR="008A76CC" w:rsidRPr="00211B4E" w:rsidRDefault="008A76CC" w:rsidP="008A76CC">
      <w:pPr>
        <w:jc w:val="both"/>
      </w:pPr>
    </w:p>
    <w:p w14:paraId="20A49709" w14:textId="0DE2F69A" w:rsidR="00551B87" w:rsidRDefault="00551B87" w:rsidP="004E1ED8">
      <w:pPr>
        <w:spacing w:before="60" w:after="60"/>
      </w:pPr>
    </w:p>
    <w:p w14:paraId="571B3441" w14:textId="49B0984D" w:rsidR="00A67260" w:rsidRDefault="00A67260" w:rsidP="004E1ED8">
      <w:pPr>
        <w:spacing w:before="60" w:after="60"/>
      </w:pPr>
    </w:p>
    <w:p w14:paraId="16CF9106" w14:textId="33FB5EDC" w:rsidR="00A67260" w:rsidRDefault="00A67260" w:rsidP="004E1ED8">
      <w:pPr>
        <w:spacing w:before="60" w:after="60"/>
      </w:pPr>
    </w:p>
    <w:p w14:paraId="4D72E2EE" w14:textId="4B78A977" w:rsidR="00A67260" w:rsidRDefault="00A67260" w:rsidP="004E1ED8">
      <w:pPr>
        <w:spacing w:before="60" w:after="60"/>
      </w:pPr>
    </w:p>
    <w:p w14:paraId="6F0A0E5F" w14:textId="6FD65209" w:rsidR="00A67260" w:rsidRDefault="00A67260" w:rsidP="004E1ED8">
      <w:pPr>
        <w:spacing w:before="60" w:after="60"/>
      </w:pPr>
    </w:p>
    <w:p w14:paraId="0C162978" w14:textId="4941A05C" w:rsidR="00A67260" w:rsidRDefault="00A67260" w:rsidP="004E1ED8">
      <w:pPr>
        <w:spacing w:before="60" w:after="60"/>
      </w:pPr>
    </w:p>
    <w:p w14:paraId="75B1B300" w14:textId="3D2CEF13" w:rsidR="00A67260" w:rsidRDefault="00A67260" w:rsidP="004E1ED8">
      <w:pPr>
        <w:spacing w:before="60" w:after="60"/>
      </w:pPr>
    </w:p>
    <w:p w14:paraId="56FF1334" w14:textId="55697DB1" w:rsidR="00243251" w:rsidRDefault="00243251" w:rsidP="004E1ED8">
      <w:pPr>
        <w:pStyle w:val="Nadpis1"/>
      </w:pPr>
      <w:bookmarkStart w:id="8" w:name="_Toc62576767"/>
      <w:r w:rsidRPr="00953F2F">
        <w:t xml:space="preserve">Definovanie </w:t>
      </w:r>
      <w:r w:rsidR="00953F2F">
        <w:t>referenčn</w:t>
      </w:r>
      <w:r w:rsidR="0066306F">
        <w:t>ých</w:t>
      </w:r>
      <w:r w:rsidR="00953F2F">
        <w:t xml:space="preserve"> rodinn</w:t>
      </w:r>
      <w:r w:rsidR="0066306F">
        <w:t>ých</w:t>
      </w:r>
      <w:r w:rsidR="00953F2F">
        <w:t xml:space="preserve"> dom</w:t>
      </w:r>
      <w:r w:rsidR="0066306F">
        <w:t>ov</w:t>
      </w:r>
      <w:r w:rsidR="00953F2F">
        <w:t xml:space="preserve"> v pôvodnom stave</w:t>
      </w:r>
      <w:r w:rsidR="00B22220">
        <w:rPr>
          <w:rStyle w:val="Znakapoznpodarou"/>
        </w:rPr>
        <w:footnoteReference w:id="1"/>
      </w:r>
      <w:bookmarkEnd w:id="8"/>
    </w:p>
    <w:p w14:paraId="58649EE6" w14:textId="52F3D657" w:rsidR="004E1ED8" w:rsidRDefault="00A60D2C" w:rsidP="00F014EA">
      <w:pPr>
        <w:spacing w:before="120" w:after="120" w:line="276" w:lineRule="auto"/>
        <w:jc w:val="both"/>
      </w:pPr>
      <w:r>
        <w:t xml:space="preserve">Pre účely tejto štúdie je definovaných </w:t>
      </w:r>
      <w:r w:rsidRPr="00A60D2C">
        <w:rPr>
          <w:b/>
          <w:bCs/>
        </w:rPr>
        <w:t xml:space="preserve">deväť </w:t>
      </w:r>
      <w:r>
        <w:rPr>
          <w:b/>
          <w:bCs/>
        </w:rPr>
        <w:t>typov</w:t>
      </w:r>
      <w:r w:rsidRPr="00A60D2C">
        <w:rPr>
          <w:b/>
          <w:bCs/>
        </w:rPr>
        <w:t xml:space="preserve"> referenčných rodinných domov</w:t>
      </w:r>
      <w:r>
        <w:t xml:space="preserve"> určených na obnovu. Referenčné domy sú definované </w:t>
      </w:r>
      <w:r w:rsidRPr="00A60D2C">
        <w:rPr>
          <w:b/>
          <w:bCs/>
        </w:rPr>
        <w:t xml:space="preserve">tromi úrovňami tepelno-technických vlastností </w:t>
      </w:r>
      <w:r>
        <w:rPr>
          <w:b/>
          <w:bCs/>
        </w:rPr>
        <w:t xml:space="preserve">obálky budovy (TOB) </w:t>
      </w:r>
      <w:r w:rsidRPr="00A60D2C">
        <w:rPr>
          <w:b/>
          <w:bCs/>
        </w:rPr>
        <w:t>a zdroj</w:t>
      </w:r>
      <w:r>
        <w:rPr>
          <w:b/>
          <w:bCs/>
        </w:rPr>
        <w:t>a</w:t>
      </w:r>
      <w:r w:rsidRPr="00A60D2C">
        <w:rPr>
          <w:b/>
          <w:bCs/>
        </w:rPr>
        <w:t xml:space="preserve"> energie</w:t>
      </w:r>
      <w:r>
        <w:t xml:space="preserve"> podľa obdobia výstavby. Tieto tri úrovne sú následne namodelované pre </w:t>
      </w:r>
      <w:r w:rsidRPr="00A60D2C">
        <w:rPr>
          <w:b/>
          <w:bCs/>
        </w:rPr>
        <w:t>tri rôzne veľkosti rodinných domov</w:t>
      </w:r>
      <w:r>
        <w:t>. V</w:t>
      </w:r>
      <w:r w:rsidR="00207C11">
        <w:t> </w:t>
      </w:r>
      <w:r w:rsidR="00672ACB">
        <w:t>tabuľk</w:t>
      </w:r>
      <w:r w:rsidR="00C174EE">
        <w:t>e</w:t>
      </w:r>
      <w:r w:rsidR="00207C11">
        <w:t xml:space="preserve"> č. 5 </w:t>
      </w:r>
      <w:r>
        <w:t>sú detailnejšie popísané jednotlivé typy z hľadiska tepelno-technického a</w:t>
      </w:r>
      <w:r w:rsidR="00C174EE">
        <w:t xml:space="preserve"> v tabuľkách </w:t>
      </w:r>
      <w:r w:rsidR="00207C11">
        <w:t>č. 6 a 7</w:t>
      </w:r>
      <w:r w:rsidR="00C174EE">
        <w:t xml:space="preserve"> </w:t>
      </w:r>
      <w:r>
        <w:t xml:space="preserve">z hľadiska </w:t>
      </w:r>
      <w:r w:rsidR="00F014EA">
        <w:t>geometrie</w:t>
      </w:r>
      <w:r>
        <w:t>.</w:t>
      </w:r>
    </w:p>
    <w:p w14:paraId="5AEBD688" w14:textId="70DDD3D0" w:rsidR="00B22220" w:rsidRDefault="00B22220" w:rsidP="00F014EA">
      <w:pPr>
        <w:spacing w:before="120" w:after="120" w:line="276" w:lineRule="auto"/>
        <w:jc w:val="both"/>
      </w:pPr>
      <w:r>
        <w:t xml:space="preserve">Podstatná časť fondu rodinných domov na Slovensku bola postavená pred rokom 1980 (viď. graf 1). Významným posunom z hľadiska tepelno-technických vlastností budovy však možno považovať až rok 1984 v ktorom vstúpila do účinnosti norma určujúca tepelnotechnické požiadavky a kritériá. Zvýšenie požiadaviek na tepelnotechnické vlastnosti obálky budovy následne priniesla jej zmena v toku 1992. </w:t>
      </w:r>
      <w:r w:rsidR="00730F4E">
        <w:t>Z tohto hľadiska a z hľadiska štatistického prehľadu fondu budov (viď. podkapitola</w:t>
      </w:r>
      <w:r w:rsidR="00445849">
        <w:t xml:space="preserve"> 2.1)</w:t>
      </w:r>
      <w:r w:rsidR="00730F4E">
        <w:t xml:space="preserve"> je preto pri výbere referenčných rodinných domov vhodné zvoliť úrovne TOB práve podľa týchto troch období výstavby. Pre účely tejto štúdie sa uvažujú tri úrovne TOB rodinných domov v pôvodnom stave z daného obdobia výstavby. Jedinou výnimkou sú otvorové konštrukcie. </w:t>
      </w:r>
      <w:r w:rsidR="00730F4E" w:rsidRPr="00730F4E">
        <w:t xml:space="preserve">Vzhľadom na životnosť </w:t>
      </w:r>
      <w:r w:rsidR="00730F4E">
        <w:t xml:space="preserve">pôvodných </w:t>
      </w:r>
      <w:r w:rsidR="00730F4E" w:rsidRPr="00730F4E">
        <w:t>otvorových konštrukcií</w:t>
      </w:r>
      <w:r w:rsidR="00730F4E">
        <w:t>, je pravdepodobné, že aj na rodinných domoch starších ako 30 rokov, už boli otvorové konštrukcie vymenené. Je uvažované, že v prípade prvých dvoch kategórií (teda RD_P1 a RD_P2) boli okenné konštrukcie vymenené</w:t>
      </w:r>
      <w:r w:rsidR="0022283E">
        <w:t xml:space="preserve"> pred rokom 2010.</w:t>
      </w:r>
    </w:p>
    <w:p w14:paraId="5B9E66D7" w14:textId="520CC9D7" w:rsidR="00825FBF" w:rsidRPr="00207C11" w:rsidRDefault="00825FBF" w:rsidP="00825FBF">
      <w:pPr>
        <w:spacing w:before="120" w:after="120"/>
        <w:rPr>
          <w:i/>
          <w:iCs/>
        </w:rPr>
      </w:pPr>
      <w:r w:rsidRPr="00207C11">
        <w:rPr>
          <w:i/>
          <w:iCs/>
        </w:rPr>
        <w:t>Tab</w:t>
      </w:r>
      <w:r w:rsidR="00207C11" w:rsidRPr="00207C11">
        <w:rPr>
          <w:i/>
          <w:iCs/>
        </w:rPr>
        <w:t xml:space="preserve">. </w:t>
      </w:r>
      <w:r w:rsidR="009D46B3">
        <w:rPr>
          <w:i/>
          <w:iCs/>
        </w:rPr>
        <w:t>6</w:t>
      </w:r>
      <w:r w:rsidRPr="00207C11">
        <w:rPr>
          <w:i/>
          <w:iCs/>
        </w:rPr>
        <w:t xml:space="preserve">: </w:t>
      </w:r>
      <w:r w:rsidR="00A60D2C" w:rsidRPr="00207C11">
        <w:rPr>
          <w:i/>
          <w:iCs/>
        </w:rPr>
        <w:t>TOB a zdroj energie</w:t>
      </w:r>
      <w:r w:rsidR="00207C11">
        <w:rPr>
          <w:i/>
          <w:iCs/>
        </w:rPr>
        <w:t xml:space="preserve"> troch referenčných rodinných domov</w:t>
      </w:r>
    </w:p>
    <w:tbl>
      <w:tblPr>
        <w:tblStyle w:val="Mkatabulky"/>
        <w:tblW w:w="0" w:type="auto"/>
        <w:tblLook w:val="04A0" w:firstRow="1" w:lastRow="0" w:firstColumn="1" w:lastColumn="0" w:noHBand="0" w:noVBand="1"/>
      </w:tblPr>
      <w:tblGrid>
        <w:gridCol w:w="813"/>
        <w:gridCol w:w="950"/>
        <w:gridCol w:w="1772"/>
        <w:gridCol w:w="1413"/>
        <w:gridCol w:w="1274"/>
        <w:gridCol w:w="1418"/>
        <w:gridCol w:w="1402"/>
      </w:tblGrid>
      <w:tr w:rsidR="0022283E" w14:paraId="75739154" w14:textId="77777777" w:rsidTr="00F014EA">
        <w:tc>
          <w:tcPr>
            <w:tcW w:w="813" w:type="dxa"/>
            <w:tcBorders>
              <w:top w:val="single" w:sz="12" w:space="0" w:color="auto"/>
              <w:left w:val="single" w:sz="12" w:space="0" w:color="auto"/>
              <w:bottom w:val="single" w:sz="12" w:space="0" w:color="auto"/>
              <w:right w:val="single" w:sz="12" w:space="0" w:color="auto"/>
            </w:tcBorders>
            <w:vAlign w:val="center"/>
          </w:tcPr>
          <w:p w14:paraId="727C780E" w14:textId="0BFA5BBD" w:rsidR="0022283E" w:rsidRDefault="0022283E" w:rsidP="00F014EA">
            <w:pPr>
              <w:spacing w:before="120" w:after="120"/>
              <w:jc w:val="center"/>
              <w:rPr>
                <w:b/>
                <w:bCs/>
              </w:rPr>
            </w:pPr>
            <w:r>
              <w:rPr>
                <w:b/>
                <w:bCs/>
              </w:rPr>
              <w:t>Ozn.</w:t>
            </w:r>
            <w:r w:rsidR="00F014EA">
              <w:rPr>
                <w:b/>
                <w:bCs/>
              </w:rPr>
              <w:t>*</w:t>
            </w:r>
          </w:p>
        </w:tc>
        <w:tc>
          <w:tcPr>
            <w:tcW w:w="950" w:type="dxa"/>
            <w:tcBorders>
              <w:top w:val="single" w:sz="12" w:space="0" w:color="auto"/>
              <w:left w:val="single" w:sz="12" w:space="0" w:color="auto"/>
              <w:bottom w:val="single" w:sz="12" w:space="0" w:color="auto"/>
            </w:tcBorders>
            <w:vAlign w:val="center"/>
          </w:tcPr>
          <w:p w14:paraId="2C16B689" w14:textId="1F14C637" w:rsidR="0022283E" w:rsidRDefault="0022283E" w:rsidP="00825FBF">
            <w:pPr>
              <w:spacing w:before="120" w:after="120"/>
              <w:jc w:val="center"/>
              <w:rPr>
                <w:b/>
                <w:bCs/>
              </w:rPr>
            </w:pPr>
            <w:r>
              <w:rPr>
                <w:b/>
                <w:bCs/>
              </w:rPr>
              <w:t>Rok výstavby</w:t>
            </w:r>
          </w:p>
        </w:tc>
        <w:tc>
          <w:tcPr>
            <w:tcW w:w="1772" w:type="dxa"/>
            <w:tcBorders>
              <w:top w:val="single" w:sz="12" w:space="0" w:color="auto"/>
              <w:bottom w:val="single" w:sz="12" w:space="0" w:color="auto"/>
            </w:tcBorders>
            <w:vAlign w:val="center"/>
          </w:tcPr>
          <w:p w14:paraId="7E656C93" w14:textId="6D58C81E" w:rsidR="0022283E" w:rsidRDefault="0022283E" w:rsidP="00825FBF">
            <w:pPr>
              <w:spacing w:before="120" w:after="120"/>
              <w:jc w:val="center"/>
              <w:rPr>
                <w:b/>
                <w:bCs/>
              </w:rPr>
            </w:pPr>
            <w:r>
              <w:rPr>
                <w:b/>
                <w:bCs/>
              </w:rPr>
              <w:t>Obvodový plášť</w:t>
            </w:r>
          </w:p>
        </w:tc>
        <w:tc>
          <w:tcPr>
            <w:tcW w:w="1413" w:type="dxa"/>
            <w:tcBorders>
              <w:top w:val="single" w:sz="12" w:space="0" w:color="auto"/>
              <w:bottom w:val="single" w:sz="12" w:space="0" w:color="auto"/>
            </w:tcBorders>
            <w:vAlign w:val="center"/>
          </w:tcPr>
          <w:p w14:paraId="14033632" w14:textId="69E1F4BB" w:rsidR="0022283E" w:rsidRDefault="0022283E" w:rsidP="00825FBF">
            <w:pPr>
              <w:spacing w:before="120" w:after="120"/>
              <w:jc w:val="center"/>
              <w:rPr>
                <w:b/>
                <w:bCs/>
              </w:rPr>
            </w:pPr>
            <w:r>
              <w:rPr>
                <w:b/>
                <w:bCs/>
              </w:rPr>
              <w:t>Strešný plášť</w:t>
            </w:r>
          </w:p>
        </w:tc>
        <w:tc>
          <w:tcPr>
            <w:tcW w:w="1274" w:type="dxa"/>
            <w:tcBorders>
              <w:top w:val="single" w:sz="12" w:space="0" w:color="auto"/>
              <w:bottom w:val="single" w:sz="12" w:space="0" w:color="auto"/>
            </w:tcBorders>
          </w:tcPr>
          <w:p w14:paraId="357AB949" w14:textId="5C86DA20" w:rsidR="0022283E" w:rsidRDefault="00F014EA" w:rsidP="00825FBF">
            <w:pPr>
              <w:spacing w:before="120" w:after="120"/>
              <w:jc w:val="center"/>
              <w:rPr>
                <w:b/>
                <w:bCs/>
              </w:rPr>
            </w:pPr>
            <w:r>
              <w:rPr>
                <w:b/>
                <w:bCs/>
              </w:rPr>
              <w:t>Strop nad suterénom</w:t>
            </w:r>
          </w:p>
        </w:tc>
        <w:tc>
          <w:tcPr>
            <w:tcW w:w="1418" w:type="dxa"/>
            <w:tcBorders>
              <w:top w:val="single" w:sz="12" w:space="0" w:color="auto"/>
              <w:bottom w:val="single" w:sz="12" w:space="0" w:color="auto"/>
            </w:tcBorders>
            <w:vAlign w:val="center"/>
          </w:tcPr>
          <w:p w14:paraId="5A42DA21" w14:textId="0F0E5FB7" w:rsidR="0022283E" w:rsidRDefault="0022283E" w:rsidP="00825FBF">
            <w:pPr>
              <w:spacing w:before="120" w:after="120"/>
              <w:jc w:val="center"/>
              <w:rPr>
                <w:b/>
                <w:bCs/>
              </w:rPr>
            </w:pPr>
            <w:r>
              <w:rPr>
                <w:b/>
                <w:bCs/>
              </w:rPr>
              <w:t>Okná</w:t>
            </w:r>
          </w:p>
        </w:tc>
        <w:tc>
          <w:tcPr>
            <w:tcW w:w="1402" w:type="dxa"/>
            <w:tcBorders>
              <w:top w:val="single" w:sz="12" w:space="0" w:color="auto"/>
              <w:bottom w:val="single" w:sz="12" w:space="0" w:color="auto"/>
              <w:right w:val="single" w:sz="12" w:space="0" w:color="auto"/>
            </w:tcBorders>
            <w:vAlign w:val="center"/>
          </w:tcPr>
          <w:p w14:paraId="51B70625" w14:textId="4DD00EEC" w:rsidR="0022283E" w:rsidRDefault="0022283E" w:rsidP="00825FBF">
            <w:pPr>
              <w:spacing w:before="120" w:after="120"/>
              <w:jc w:val="center"/>
              <w:rPr>
                <w:b/>
                <w:bCs/>
              </w:rPr>
            </w:pPr>
            <w:r>
              <w:rPr>
                <w:b/>
                <w:bCs/>
              </w:rPr>
              <w:t>Zdroj energie</w:t>
            </w:r>
          </w:p>
        </w:tc>
      </w:tr>
      <w:tr w:rsidR="00F014EA" w14:paraId="3D3411F5" w14:textId="77777777" w:rsidTr="00F014EA">
        <w:tc>
          <w:tcPr>
            <w:tcW w:w="813" w:type="dxa"/>
            <w:tcBorders>
              <w:top w:val="single" w:sz="12" w:space="0" w:color="auto"/>
              <w:left w:val="single" w:sz="12" w:space="0" w:color="auto"/>
              <w:right w:val="single" w:sz="12" w:space="0" w:color="auto"/>
            </w:tcBorders>
            <w:vAlign w:val="center"/>
          </w:tcPr>
          <w:p w14:paraId="74771496" w14:textId="77777777" w:rsidR="00F014EA" w:rsidRDefault="00F014EA" w:rsidP="00F014EA">
            <w:pPr>
              <w:spacing w:before="120" w:after="120"/>
              <w:rPr>
                <w:b/>
                <w:bCs/>
              </w:rPr>
            </w:pPr>
            <w:r>
              <w:rPr>
                <w:b/>
                <w:bCs/>
              </w:rPr>
              <w:t>RD_P1</w:t>
            </w:r>
          </w:p>
          <w:p w14:paraId="6D9B4630" w14:textId="2716F67F" w:rsidR="00F014EA" w:rsidRPr="00825FBF" w:rsidRDefault="00F014EA" w:rsidP="00F014EA">
            <w:r w:rsidRPr="00825FBF">
              <w:rPr>
                <w:sz w:val="12"/>
                <w:szCs w:val="12"/>
              </w:rPr>
              <w:t>TOB1a + 01</w:t>
            </w:r>
          </w:p>
        </w:tc>
        <w:tc>
          <w:tcPr>
            <w:tcW w:w="950" w:type="dxa"/>
            <w:tcBorders>
              <w:top w:val="single" w:sz="12" w:space="0" w:color="auto"/>
              <w:left w:val="single" w:sz="12" w:space="0" w:color="auto"/>
            </w:tcBorders>
            <w:vAlign w:val="center"/>
          </w:tcPr>
          <w:p w14:paraId="78E0973F" w14:textId="6FCAD4FA" w:rsidR="00F014EA" w:rsidRPr="00825FBF" w:rsidRDefault="00F014EA" w:rsidP="00F014EA">
            <w:pPr>
              <w:spacing w:before="120" w:after="120"/>
              <w:jc w:val="center"/>
            </w:pPr>
            <w:r w:rsidRPr="00825FBF">
              <w:t>Pred r. 1984</w:t>
            </w:r>
          </w:p>
        </w:tc>
        <w:tc>
          <w:tcPr>
            <w:tcW w:w="1772" w:type="dxa"/>
            <w:tcBorders>
              <w:top w:val="single" w:sz="12" w:space="0" w:color="auto"/>
            </w:tcBorders>
            <w:vAlign w:val="center"/>
          </w:tcPr>
          <w:p w14:paraId="7DE8C461" w14:textId="65C2AC94" w:rsidR="00F014EA" w:rsidRDefault="00F014EA" w:rsidP="00F014EA">
            <w:pPr>
              <w:jc w:val="center"/>
            </w:pPr>
            <w:r w:rsidRPr="0022283E">
              <w:t>Pôvodn</w:t>
            </w:r>
            <w:r>
              <w:t>ý,</w:t>
            </w:r>
          </w:p>
          <w:p w14:paraId="005DF911" w14:textId="3C1B49BE" w:rsidR="00F014EA" w:rsidRPr="0022283E" w:rsidRDefault="00F014EA" w:rsidP="00F014EA">
            <w:pPr>
              <w:jc w:val="center"/>
            </w:pPr>
            <w:r w:rsidRPr="0022283E">
              <w:t>Plná pálená tehla</w:t>
            </w:r>
            <w:r>
              <w:t xml:space="preserve">, </w:t>
            </w:r>
            <w:r w:rsidRPr="0022283E">
              <w:t>U=1,45 W/(m</w:t>
            </w:r>
            <w:r w:rsidRPr="00F014EA">
              <w:rPr>
                <w:vertAlign w:val="superscript"/>
              </w:rPr>
              <w:t>2</w:t>
            </w:r>
            <w:r w:rsidRPr="0022283E">
              <w:t>.K)</w:t>
            </w:r>
          </w:p>
          <w:p w14:paraId="5B1736CF" w14:textId="2112ACDF" w:rsidR="00F014EA" w:rsidRPr="0022283E" w:rsidRDefault="00F014EA" w:rsidP="00F014EA">
            <w:pPr>
              <w:jc w:val="center"/>
            </w:pPr>
          </w:p>
        </w:tc>
        <w:tc>
          <w:tcPr>
            <w:tcW w:w="1413" w:type="dxa"/>
            <w:tcBorders>
              <w:top w:val="single" w:sz="12" w:space="0" w:color="auto"/>
            </w:tcBorders>
            <w:vAlign w:val="center"/>
          </w:tcPr>
          <w:p w14:paraId="5FF2696E" w14:textId="77777777" w:rsidR="00F014EA" w:rsidRDefault="00F014EA" w:rsidP="00F014EA">
            <w:pPr>
              <w:jc w:val="center"/>
            </w:pPr>
            <w:r w:rsidRPr="0022283E">
              <w:t>Pôvodn</w:t>
            </w:r>
            <w:r>
              <w:t>ý,</w:t>
            </w:r>
          </w:p>
          <w:p w14:paraId="249E84D5" w14:textId="2609F21E" w:rsidR="00F014EA" w:rsidRPr="0022283E" w:rsidRDefault="00F014EA" w:rsidP="00F014EA">
            <w:pPr>
              <w:jc w:val="center"/>
            </w:pPr>
            <w:r w:rsidRPr="0022283E">
              <w:t>U = 0,89 W/(m</w:t>
            </w:r>
            <w:r w:rsidRPr="00F014EA">
              <w:rPr>
                <w:vertAlign w:val="superscript"/>
              </w:rPr>
              <w:t>2</w:t>
            </w:r>
            <w:r w:rsidRPr="0022283E">
              <w:t>.K)</w:t>
            </w:r>
          </w:p>
        </w:tc>
        <w:tc>
          <w:tcPr>
            <w:tcW w:w="1274" w:type="dxa"/>
            <w:tcBorders>
              <w:top w:val="single" w:sz="12" w:space="0" w:color="auto"/>
            </w:tcBorders>
            <w:vAlign w:val="center"/>
          </w:tcPr>
          <w:p w14:paraId="15192337" w14:textId="77777777" w:rsidR="00F014EA" w:rsidRDefault="00F014EA" w:rsidP="00F014EA">
            <w:pPr>
              <w:jc w:val="center"/>
            </w:pPr>
            <w:r w:rsidRPr="0022283E">
              <w:t>Pôvodn</w:t>
            </w:r>
            <w:r>
              <w:t>ý,</w:t>
            </w:r>
          </w:p>
          <w:p w14:paraId="192FA3A8" w14:textId="46FC3E76" w:rsidR="00F014EA" w:rsidRDefault="00F014EA" w:rsidP="00F014EA">
            <w:pPr>
              <w:spacing w:before="120" w:after="120"/>
              <w:jc w:val="center"/>
            </w:pPr>
            <w:r w:rsidRPr="0022283E">
              <w:t xml:space="preserve">U = </w:t>
            </w:r>
            <w:r>
              <w:t>1,75</w:t>
            </w:r>
            <w:r w:rsidRPr="0022283E">
              <w:t xml:space="preserve"> W/(m</w:t>
            </w:r>
            <w:r w:rsidRPr="00F014EA">
              <w:rPr>
                <w:vertAlign w:val="superscript"/>
              </w:rPr>
              <w:t>2</w:t>
            </w:r>
            <w:r w:rsidRPr="0022283E">
              <w:t>.K)</w:t>
            </w:r>
          </w:p>
        </w:tc>
        <w:tc>
          <w:tcPr>
            <w:tcW w:w="1418" w:type="dxa"/>
            <w:tcBorders>
              <w:top w:val="single" w:sz="12" w:space="0" w:color="auto"/>
            </w:tcBorders>
            <w:vAlign w:val="center"/>
          </w:tcPr>
          <w:p w14:paraId="3274C453" w14:textId="77777777" w:rsidR="00F014EA" w:rsidRDefault="00F014EA" w:rsidP="00F014EA">
            <w:pPr>
              <w:spacing w:before="120" w:after="120"/>
              <w:jc w:val="center"/>
            </w:pPr>
            <w:r>
              <w:t>Pôvodné o</w:t>
            </w:r>
            <w:r w:rsidRPr="00825FBF">
              <w:t>kná vymenené pred r. 2010</w:t>
            </w:r>
          </w:p>
          <w:p w14:paraId="705AACDA" w14:textId="37A04CFD" w:rsidR="00F014EA" w:rsidRPr="00825FBF" w:rsidRDefault="00F014EA" w:rsidP="00F014EA">
            <w:pPr>
              <w:spacing w:before="120" w:after="120"/>
              <w:jc w:val="center"/>
            </w:pPr>
            <w:r w:rsidRPr="0022283E">
              <w:t xml:space="preserve">U = </w:t>
            </w:r>
            <w:r>
              <w:t>1,7</w:t>
            </w:r>
            <w:r w:rsidRPr="0022283E">
              <w:t xml:space="preserve"> W/(m</w:t>
            </w:r>
            <w:r w:rsidRPr="00F014EA">
              <w:rPr>
                <w:vertAlign w:val="superscript"/>
              </w:rPr>
              <w:t>2</w:t>
            </w:r>
            <w:r w:rsidRPr="0022283E">
              <w:t>.K)</w:t>
            </w:r>
          </w:p>
        </w:tc>
        <w:tc>
          <w:tcPr>
            <w:tcW w:w="1402" w:type="dxa"/>
            <w:tcBorders>
              <w:top w:val="single" w:sz="12" w:space="0" w:color="auto"/>
              <w:right w:val="single" w:sz="12" w:space="0" w:color="auto"/>
            </w:tcBorders>
            <w:vAlign w:val="center"/>
          </w:tcPr>
          <w:p w14:paraId="61A6205A" w14:textId="5DD331CF" w:rsidR="00F014EA" w:rsidRPr="00825FBF" w:rsidRDefault="00F014EA" w:rsidP="00F014EA">
            <w:pPr>
              <w:spacing w:before="120" w:after="120"/>
              <w:jc w:val="center"/>
            </w:pPr>
            <w:r w:rsidRPr="00825FBF">
              <w:t>Kotol na tuhé palivo (</w:t>
            </w:r>
            <w:r>
              <w:t>drevo</w:t>
            </w:r>
            <w:r w:rsidRPr="00825FBF">
              <w:t>); r. výroby do 1984</w:t>
            </w:r>
          </w:p>
        </w:tc>
      </w:tr>
      <w:tr w:rsidR="00F014EA" w14:paraId="5C775164" w14:textId="77777777" w:rsidTr="00F014EA">
        <w:tc>
          <w:tcPr>
            <w:tcW w:w="813" w:type="dxa"/>
            <w:tcBorders>
              <w:left w:val="single" w:sz="12" w:space="0" w:color="auto"/>
              <w:right w:val="single" w:sz="12" w:space="0" w:color="auto"/>
            </w:tcBorders>
            <w:vAlign w:val="center"/>
          </w:tcPr>
          <w:p w14:paraId="785BFED9" w14:textId="77777777" w:rsidR="00F014EA" w:rsidRDefault="00F014EA" w:rsidP="00F014EA">
            <w:pPr>
              <w:spacing w:before="120" w:after="120"/>
              <w:rPr>
                <w:b/>
                <w:bCs/>
              </w:rPr>
            </w:pPr>
            <w:r>
              <w:rPr>
                <w:b/>
                <w:bCs/>
              </w:rPr>
              <w:t>RD_P2</w:t>
            </w:r>
          </w:p>
          <w:p w14:paraId="11A1C81C" w14:textId="7C4CD2C0" w:rsidR="00F014EA" w:rsidRPr="00825FBF" w:rsidRDefault="00F014EA" w:rsidP="00F014EA">
            <w:pPr>
              <w:spacing w:before="120" w:after="120"/>
            </w:pPr>
            <w:r w:rsidRPr="00825FBF">
              <w:rPr>
                <w:rFonts w:cs="Franklin Got Itc T OT Book"/>
                <w:color w:val="000000"/>
                <w:sz w:val="12"/>
                <w:szCs w:val="12"/>
              </w:rPr>
              <w:t>TOB2 + 01</w:t>
            </w:r>
          </w:p>
        </w:tc>
        <w:tc>
          <w:tcPr>
            <w:tcW w:w="950" w:type="dxa"/>
            <w:tcBorders>
              <w:left w:val="single" w:sz="12" w:space="0" w:color="auto"/>
            </w:tcBorders>
            <w:vAlign w:val="center"/>
          </w:tcPr>
          <w:p w14:paraId="0686A76D" w14:textId="49FC17D8" w:rsidR="00F014EA" w:rsidRPr="00825FBF" w:rsidRDefault="00F014EA" w:rsidP="00F014EA">
            <w:pPr>
              <w:spacing w:before="120" w:after="120"/>
              <w:jc w:val="center"/>
            </w:pPr>
            <w:r w:rsidRPr="00825FBF">
              <w:t>1984 – 1992</w:t>
            </w:r>
          </w:p>
        </w:tc>
        <w:tc>
          <w:tcPr>
            <w:tcW w:w="1772" w:type="dxa"/>
            <w:vAlign w:val="center"/>
          </w:tcPr>
          <w:p w14:paraId="6BAD6B05" w14:textId="76EF9C9E" w:rsidR="00F014EA" w:rsidRDefault="00F014EA" w:rsidP="00F014EA">
            <w:pPr>
              <w:jc w:val="center"/>
            </w:pPr>
            <w:r w:rsidRPr="0022283E">
              <w:t>Pôvodn</w:t>
            </w:r>
            <w:r>
              <w:t>ý,</w:t>
            </w:r>
          </w:p>
          <w:p w14:paraId="127E0706" w14:textId="5D988D1D" w:rsidR="00F014EA" w:rsidRPr="0022283E" w:rsidRDefault="00F014EA" w:rsidP="00F014EA">
            <w:pPr>
              <w:jc w:val="center"/>
            </w:pPr>
            <w:r w:rsidRPr="0022283E">
              <w:t>Pórobetónové tvárnice</w:t>
            </w:r>
          </w:p>
          <w:p w14:paraId="76D1BE7C" w14:textId="4188FB6C" w:rsidR="00F014EA" w:rsidRPr="0022283E" w:rsidRDefault="00F014EA" w:rsidP="00F014EA">
            <w:pPr>
              <w:jc w:val="center"/>
            </w:pPr>
            <w:r w:rsidRPr="0022283E">
              <w:t>U=0,89 W/(m</w:t>
            </w:r>
            <w:r w:rsidRPr="00F014EA">
              <w:rPr>
                <w:vertAlign w:val="superscript"/>
              </w:rPr>
              <w:t>2</w:t>
            </w:r>
            <w:r w:rsidRPr="0022283E">
              <w:t>.K)</w:t>
            </w:r>
          </w:p>
        </w:tc>
        <w:tc>
          <w:tcPr>
            <w:tcW w:w="1413" w:type="dxa"/>
            <w:vAlign w:val="center"/>
          </w:tcPr>
          <w:p w14:paraId="71C38B5B" w14:textId="77777777" w:rsidR="00F014EA" w:rsidRDefault="00F014EA" w:rsidP="00F014EA">
            <w:pPr>
              <w:jc w:val="center"/>
            </w:pPr>
            <w:r w:rsidRPr="0022283E">
              <w:t>Pôvodn</w:t>
            </w:r>
            <w:r>
              <w:t>ý,</w:t>
            </w:r>
          </w:p>
          <w:p w14:paraId="67859C99" w14:textId="48C11B6E" w:rsidR="00F014EA" w:rsidRPr="0022283E" w:rsidRDefault="00F014EA" w:rsidP="00F014EA">
            <w:pPr>
              <w:jc w:val="center"/>
            </w:pPr>
            <w:r w:rsidRPr="0022283E">
              <w:t>U = 0,51 W/(m</w:t>
            </w:r>
            <w:r w:rsidRPr="00F014EA">
              <w:rPr>
                <w:vertAlign w:val="superscript"/>
              </w:rPr>
              <w:t>2</w:t>
            </w:r>
            <w:r w:rsidRPr="0022283E">
              <w:t>.K)</w:t>
            </w:r>
          </w:p>
        </w:tc>
        <w:tc>
          <w:tcPr>
            <w:tcW w:w="1274" w:type="dxa"/>
            <w:vAlign w:val="center"/>
          </w:tcPr>
          <w:p w14:paraId="4D4DCCFE" w14:textId="77777777" w:rsidR="00F014EA" w:rsidRDefault="00F014EA" w:rsidP="00F014EA">
            <w:pPr>
              <w:jc w:val="center"/>
            </w:pPr>
            <w:r w:rsidRPr="0022283E">
              <w:t>Pôvodn</w:t>
            </w:r>
            <w:r>
              <w:t>ý,</w:t>
            </w:r>
          </w:p>
          <w:p w14:paraId="295E9FAE" w14:textId="35CEE117" w:rsidR="00F014EA" w:rsidRDefault="00F014EA" w:rsidP="00F014EA">
            <w:pPr>
              <w:spacing w:before="120" w:after="120"/>
              <w:jc w:val="center"/>
            </w:pPr>
            <w:r w:rsidRPr="0022283E">
              <w:t xml:space="preserve">U = </w:t>
            </w:r>
            <w:r>
              <w:t>1,75</w:t>
            </w:r>
            <w:r w:rsidRPr="0022283E">
              <w:t xml:space="preserve"> W/(m</w:t>
            </w:r>
            <w:r w:rsidRPr="00F014EA">
              <w:rPr>
                <w:vertAlign w:val="superscript"/>
              </w:rPr>
              <w:t>2</w:t>
            </w:r>
            <w:r w:rsidRPr="0022283E">
              <w:t>.K)</w:t>
            </w:r>
          </w:p>
        </w:tc>
        <w:tc>
          <w:tcPr>
            <w:tcW w:w="1418" w:type="dxa"/>
            <w:vAlign w:val="center"/>
          </w:tcPr>
          <w:p w14:paraId="083BF8A8" w14:textId="77777777" w:rsidR="00F014EA" w:rsidRDefault="00F014EA" w:rsidP="00F014EA">
            <w:pPr>
              <w:spacing w:before="120" w:after="120"/>
              <w:jc w:val="center"/>
            </w:pPr>
            <w:r>
              <w:t>Pôvodné o</w:t>
            </w:r>
            <w:r w:rsidRPr="00825FBF">
              <w:t>kná vymenené pred r. 2010</w:t>
            </w:r>
          </w:p>
          <w:p w14:paraId="0BD575AC" w14:textId="3C14567C" w:rsidR="00F014EA" w:rsidRPr="00825FBF" w:rsidRDefault="00F014EA" w:rsidP="00F014EA">
            <w:pPr>
              <w:spacing w:before="120" w:after="120"/>
              <w:jc w:val="center"/>
            </w:pPr>
            <w:r w:rsidRPr="0022283E">
              <w:t xml:space="preserve">U = </w:t>
            </w:r>
            <w:r>
              <w:t>1,7</w:t>
            </w:r>
            <w:r w:rsidRPr="0022283E">
              <w:t xml:space="preserve"> W/(m</w:t>
            </w:r>
            <w:r w:rsidRPr="00F014EA">
              <w:rPr>
                <w:vertAlign w:val="superscript"/>
              </w:rPr>
              <w:t>2</w:t>
            </w:r>
            <w:r w:rsidRPr="0022283E">
              <w:t>.K)</w:t>
            </w:r>
          </w:p>
        </w:tc>
        <w:tc>
          <w:tcPr>
            <w:tcW w:w="1402" w:type="dxa"/>
            <w:tcBorders>
              <w:right w:val="single" w:sz="12" w:space="0" w:color="auto"/>
            </w:tcBorders>
            <w:vAlign w:val="center"/>
          </w:tcPr>
          <w:p w14:paraId="17100407" w14:textId="7DF3B065" w:rsidR="00F014EA" w:rsidRPr="00825FBF" w:rsidRDefault="00F014EA" w:rsidP="00F014EA">
            <w:pPr>
              <w:spacing w:before="120" w:after="120"/>
              <w:jc w:val="center"/>
            </w:pPr>
            <w:r w:rsidRPr="00825FBF">
              <w:t>Plynový kotol; r. výroby 1984 - 1992</w:t>
            </w:r>
          </w:p>
        </w:tc>
      </w:tr>
      <w:tr w:rsidR="00F014EA" w14:paraId="668C30B6" w14:textId="77777777" w:rsidTr="00F014EA">
        <w:tc>
          <w:tcPr>
            <w:tcW w:w="813" w:type="dxa"/>
            <w:tcBorders>
              <w:left w:val="single" w:sz="12" w:space="0" w:color="auto"/>
              <w:bottom w:val="single" w:sz="12" w:space="0" w:color="auto"/>
              <w:right w:val="single" w:sz="12" w:space="0" w:color="auto"/>
            </w:tcBorders>
            <w:vAlign w:val="center"/>
          </w:tcPr>
          <w:p w14:paraId="78BDD936" w14:textId="77777777" w:rsidR="00F014EA" w:rsidRDefault="00F014EA" w:rsidP="00F014EA">
            <w:pPr>
              <w:spacing w:before="120" w:after="120"/>
              <w:rPr>
                <w:b/>
                <w:bCs/>
              </w:rPr>
            </w:pPr>
            <w:r>
              <w:rPr>
                <w:b/>
                <w:bCs/>
              </w:rPr>
              <w:t>RD_P3</w:t>
            </w:r>
          </w:p>
          <w:p w14:paraId="687A42CA" w14:textId="51832AFA" w:rsidR="00F014EA" w:rsidRDefault="00F014EA" w:rsidP="00F014EA">
            <w:pPr>
              <w:spacing w:before="120" w:after="120"/>
              <w:rPr>
                <w:b/>
                <w:bCs/>
              </w:rPr>
            </w:pPr>
            <w:r w:rsidRPr="00825FBF">
              <w:rPr>
                <w:rFonts w:cs="Franklin Got Itc T OT Book"/>
                <w:color w:val="000000"/>
                <w:sz w:val="12"/>
                <w:szCs w:val="12"/>
              </w:rPr>
              <w:t>TO</w:t>
            </w:r>
            <w:r>
              <w:rPr>
                <w:rFonts w:cs="Franklin Got Itc T OT Book"/>
                <w:color w:val="000000"/>
                <w:sz w:val="12"/>
                <w:szCs w:val="12"/>
              </w:rPr>
              <w:t>B3</w:t>
            </w:r>
          </w:p>
        </w:tc>
        <w:tc>
          <w:tcPr>
            <w:tcW w:w="950" w:type="dxa"/>
            <w:tcBorders>
              <w:left w:val="single" w:sz="12" w:space="0" w:color="auto"/>
              <w:bottom w:val="single" w:sz="12" w:space="0" w:color="auto"/>
            </w:tcBorders>
            <w:vAlign w:val="center"/>
          </w:tcPr>
          <w:p w14:paraId="35613AF1" w14:textId="18351566" w:rsidR="00F014EA" w:rsidRPr="00825FBF" w:rsidRDefault="00F014EA" w:rsidP="00F014EA">
            <w:pPr>
              <w:spacing w:before="120" w:after="120"/>
              <w:jc w:val="center"/>
            </w:pPr>
            <w:r w:rsidRPr="00825FBF">
              <w:t>1993 - 1996</w:t>
            </w:r>
          </w:p>
        </w:tc>
        <w:tc>
          <w:tcPr>
            <w:tcW w:w="1772" w:type="dxa"/>
            <w:tcBorders>
              <w:bottom w:val="single" w:sz="12" w:space="0" w:color="auto"/>
            </w:tcBorders>
            <w:vAlign w:val="center"/>
          </w:tcPr>
          <w:p w14:paraId="6A13ECC6" w14:textId="77777777" w:rsidR="00F014EA" w:rsidRDefault="00F014EA" w:rsidP="00F014EA">
            <w:pPr>
              <w:jc w:val="center"/>
            </w:pPr>
            <w:r w:rsidRPr="0022283E">
              <w:t>Pôvodn</w:t>
            </w:r>
            <w:r>
              <w:t>ý,</w:t>
            </w:r>
          </w:p>
          <w:p w14:paraId="3264B86D" w14:textId="52B6EA2C" w:rsidR="00F014EA" w:rsidRPr="0022283E" w:rsidRDefault="00F014EA" w:rsidP="00F014EA">
            <w:pPr>
              <w:jc w:val="center"/>
            </w:pPr>
            <w:r>
              <w:t>Keramické murivo</w:t>
            </w:r>
          </w:p>
          <w:p w14:paraId="6E1EF72E" w14:textId="1E5827E1" w:rsidR="00F014EA" w:rsidRPr="0022283E" w:rsidRDefault="00F014EA" w:rsidP="00F014EA">
            <w:pPr>
              <w:jc w:val="center"/>
            </w:pPr>
            <w:r w:rsidRPr="0022283E">
              <w:t>U=0,46 W/(m</w:t>
            </w:r>
            <w:r w:rsidRPr="00F014EA">
              <w:rPr>
                <w:vertAlign w:val="superscript"/>
              </w:rPr>
              <w:t>2</w:t>
            </w:r>
            <w:r w:rsidRPr="0022283E">
              <w:t>.K)</w:t>
            </w:r>
          </w:p>
        </w:tc>
        <w:tc>
          <w:tcPr>
            <w:tcW w:w="1413" w:type="dxa"/>
            <w:tcBorders>
              <w:bottom w:val="single" w:sz="12" w:space="0" w:color="auto"/>
            </w:tcBorders>
            <w:vAlign w:val="center"/>
          </w:tcPr>
          <w:p w14:paraId="75C61F8F" w14:textId="77777777" w:rsidR="00F014EA" w:rsidRDefault="00F014EA" w:rsidP="00F014EA">
            <w:pPr>
              <w:jc w:val="center"/>
            </w:pPr>
            <w:r w:rsidRPr="0022283E">
              <w:t>Pôvodn</w:t>
            </w:r>
            <w:r>
              <w:t>ý,</w:t>
            </w:r>
          </w:p>
          <w:p w14:paraId="34FD926D" w14:textId="621753A8" w:rsidR="00F014EA" w:rsidRPr="0022283E" w:rsidRDefault="00F014EA" w:rsidP="00F014EA">
            <w:pPr>
              <w:jc w:val="center"/>
            </w:pPr>
            <w:r w:rsidRPr="0022283E">
              <w:t>U = 0,32 W/(m</w:t>
            </w:r>
            <w:r w:rsidRPr="00F014EA">
              <w:rPr>
                <w:vertAlign w:val="superscript"/>
              </w:rPr>
              <w:t>2</w:t>
            </w:r>
            <w:r w:rsidRPr="0022283E">
              <w:t>.K)</w:t>
            </w:r>
          </w:p>
        </w:tc>
        <w:tc>
          <w:tcPr>
            <w:tcW w:w="1274" w:type="dxa"/>
            <w:tcBorders>
              <w:bottom w:val="single" w:sz="12" w:space="0" w:color="auto"/>
            </w:tcBorders>
            <w:vAlign w:val="center"/>
          </w:tcPr>
          <w:p w14:paraId="64770E87" w14:textId="77777777" w:rsidR="00F014EA" w:rsidRDefault="00F014EA" w:rsidP="00F014EA">
            <w:pPr>
              <w:jc w:val="center"/>
            </w:pPr>
            <w:r w:rsidRPr="0022283E">
              <w:t>Pôvodn</w:t>
            </w:r>
            <w:r>
              <w:t>ý,</w:t>
            </w:r>
          </w:p>
          <w:p w14:paraId="34A4B033" w14:textId="343E4712" w:rsidR="00F014EA" w:rsidRPr="0022283E" w:rsidRDefault="00F014EA" w:rsidP="00F014EA">
            <w:pPr>
              <w:spacing w:before="120" w:after="120"/>
              <w:jc w:val="center"/>
            </w:pPr>
            <w:r w:rsidRPr="0022283E">
              <w:t xml:space="preserve">U = </w:t>
            </w:r>
            <w:r>
              <w:t xml:space="preserve">1,2 </w:t>
            </w:r>
            <w:r w:rsidRPr="0022283E">
              <w:t>W/(m</w:t>
            </w:r>
            <w:r w:rsidRPr="00F014EA">
              <w:rPr>
                <w:vertAlign w:val="superscript"/>
              </w:rPr>
              <w:t>2</w:t>
            </w:r>
            <w:r w:rsidRPr="0022283E">
              <w:t>.K)</w:t>
            </w:r>
          </w:p>
        </w:tc>
        <w:tc>
          <w:tcPr>
            <w:tcW w:w="1418" w:type="dxa"/>
            <w:tcBorders>
              <w:bottom w:val="single" w:sz="12" w:space="0" w:color="auto"/>
            </w:tcBorders>
            <w:vAlign w:val="center"/>
          </w:tcPr>
          <w:p w14:paraId="2C52912C" w14:textId="77777777" w:rsidR="00F014EA" w:rsidRDefault="00F014EA" w:rsidP="00F014EA">
            <w:pPr>
              <w:spacing w:before="120" w:after="120"/>
              <w:jc w:val="center"/>
            </w:pPr>
            <w:r w:rsidRPr="0022283E">
              <w:t>Pôvodné okná</w:t>
            </w:r>
          </w:p>
          <w:p w14:paraId="7EE73D08" w14:textId="7B1B1E59" w:rsidR="00F014EA" w:rsidRPr="0022283E" w:rsidRDefault="00F014EA" w:rsidP="00F014EA">
            <w:pPr>
              <w:spacing w:before="120" w:after="120"/>
              <w:jc w:val="center"/>
            </w:pPr>
            <w:r w:rsidRPr="0022283E">
              <w:t xml:space="preserve">U = </w:t>
            </w:r>
            <w:r>
              <w:t>1,7</w:t>
            </w:r>
            <w:r w:rsidRPr="0022283E">
              <w:t xml:space="preserve"> W/(m</w:t>
            </w:r>
            <w:r w:rsidRPr="00F014EA">
              <w:rPr>
                <w:vertAlign w:val="superscript"/>
              </w:rPr>
              <w:t>2</w:t>
            </w:r>
            <w:r w:rsidRPr="0022283E">
              <w:t>.K)</w:t>
            </w:r>
          </w:p>
        </w:tc>
        <w:tc>
          <w:tcPr>
            <w:tcW w:w="1402" w:type="dxa"/>
            <w:tcBorders>
              <w:bottom w:val="single" w:sz="12" w:space="0" w:color="auto"/>
              <w:right w:val="single" w:sz="12" w:space="0" w:color="auto"/>
            </w:tcBorders>
            <w:vAlign w:val="center"/>
          </w:tcPr>
          <w:p w14:paraId="081D4928" w14:textId="00D8821E" w:rsidR="00F014EA" w:rsidRPr="00825FBF" w:rsidRDefault="00F014EA" w:rsidP="00F014EA">
            <w:pPr>
              <w:spacing w:before="120" w:after="120"/>
              <w:jc w:val="center"/>
            </w:pPr>
            <w:r w:rsidRPr="00825FBF">
              <w:t>Plynový kotol; r. výroby 1993 - 1996</w:t>
            </w:r>
          </w:p>
        </w:tc>
      </w:tr>
    </w:tbl>
    <w:p w14:paraId="29EA1CE9" w14:textId="6B01CDC0" w:rsidR="00A60D2C" w:rsidRPr="00F014EA" w:rsidRDefault="00F014EA" w:rsidP="00F014EA">
      <w:pPr>
        <w:spacing w:before="120" w:after="120"/>
      </w:pPr>
      <w:r>
        <w:t xml:space="preserve">*označenie typu úrovne P1, P2, P3 = </w:t>
      </w:r>
      <w:r w:rsidR="00C174EE">
        <w:t>P</w:t>
      </w:r>
      <w:r>
        <w:t xml:space="preserve">ôvodný stav 1, </w:t>
      </w:r>
      <w:r w:rsidR="00C174EE">
        <w:t>P</w:t>
      </w:r>
      <w:r>
        <w:t xml:space="preserve">ôvodný stav 2, </w:t>
      </w:r>
      <w:r w:rsidR="00C174EE">
        <w:t>P</w:t>
      </w:r>
      <w:r>
        <w:t>ôvodný stav 3.</w:t>
      </w:r>
    </w:p>
    <w:p w14:paraId="1A19B70B" w14:textId="615858B3" w:rsidR="00672ACB" w:rsidRDefault="00672ACB" w:rsidP="004E1ED8">
      <w:pPr>
        <w:spacing w:before="120" w:after="120"/>
        <w:rPr>
          <w:b/>
          <w:bCs/>
        </w:rPr>
      </w:pPr>
    </w:p>
    <w:p w14:paraId="154FBC3F" w14:textId="77777777" w:rsidR="00F014EA" w:rsidRDefault="00F014EA" w:rsidP="004E1ED8">
      <w:pPr>
        <w:spacing w:before="120" w:after="120"/>
        <w:rPr>
          <w:b/>
          <w:bCs/>
        </w:rPr>
      </w:pPr>
    </w:p>
    <w:p w14:paraId="318B2EBF" w14:textId="0114761B" w:rsidR="009C02EC" w:rsidRPr="00207C11" w:rsidRDefault="00825FBF" w:rsidP="00825FBF">
      <w:pPr>
        <w:spacing w:before="120" w:after="120"/>
        <w:rPr>
          <w:i/>
          <w:iCs/>
        </w:rPr>
      </w:pPr>
      <w:r w:rsidRPr="00207C11">
        <w:rPr>
          <w:i/>
          <w:iCs/>
        </w:rPr>
        <w:t>Tab</w:t>
      </w:r>
      <w:r w:rsidR="00207C11" w:rsidRPr="00207C11">
        <w:rPr>
          <w:i/>
          <w:iCs/>
        </w:rPr>
        <w:t xml:space="preserve">. </w:t>
      </w:r>
      <w:r w:rsidR="009D46B3">
        <w:rPr>
          <w:i/>
          <w:iCs/>
        </w:rPr>
        <w:t>7</w:t>
      </w:r>
      <w:r w:rsidRPr="00207C11">
        <w:rPr>
          <w:i/>
          <w:iCs/>
        </w:rPr>
        <w:t>: Geometria</w:t>
      </w:r>
      <w:r w:rsidR="00A6602F" w:rsidRPr="00207C11">
        <w:rPr>
          <w:i/>
          <w:iCs/>
        </w:rPr>
        <w:t xml:space="preserve"> referenčných rodinných domov</w:t>
      </w:r>
    </w:p>
    <w:tbl>
      <w:tblPr>
        <w:tblStyle w:val="Mkatabulky"/>
        <w:tblW w:w="0" w:type="auto"/>
        <w:tblLook w:val="04A0" w:firstRow="1" w:lastRow="0" w:firstColumn="1" w:lastColumn="0" w:noHBand="0" w:noVBand="1"/>
      </w:tblPr>
      <w:tblGrid>
        <w:gridCol w:w="737"/>
        <w:gridCol w:w="1047"/>
        <w:gridCol w:w="990"/>
        <w:gridCol w:w="1188"/>
        <w:gridCol w:w="1184"/>
        <w:gridCol w:w="1515"/>
        <w:gridCol w:w="1184"/>
        <w:gridCol w:w="1197"/>
      </w:tblGrid>
      <w:tr w:rsidR="00414EBB" w14:paraId="3DCB6159" w14:textId="77777777" w:rsidTr="00E97D54">
        <w:tc>
          <w:tcPr>
            <w:tcW w:w="738" w:type="dxa"/>
            <w:tcBorders>
              <w:top w:val="single" w:sz="12" w:space="0" w:color="auto"/>
              <w:left w:val="single" w:sz="12" w:space="0" w:color="auto"/>
              <w:bottom w:val="single" w:sz="12" w:space="0" w:color="auto"/>
              <w:right w:val="single" w:sz="12" w:space="0" w:color="auto"/>
            </w:tcBorders>
            <w:vAlign w:val="center"/>
          </w:tcPr>
          <w:p w14:paraId="514ED2AE" w14:textId="77777777" w:rsidR="00414EBB" w:rsidRPr="00E97D54" w:rsidRDefault="00414EBB" w:rsidP="00414EBB">
            <w:pPr>
              <w:spacing w:before="120" w:after="120"/>
              <w:jc w:val="center"/>
              <w:rPr>
                <w:b/>
                <w:bCs/>
              </w:rPr>
            </w:pPr>
            <w:r w:rsidRPr="00E97D54">
              <w:rPr>
                <w:b/>
                <w:bCs/>
              </w:rPr>
              <w:t>Ozn.</w:t>
            </w:r>
          </w:p>
        </w:tc>
        <w:tc>
          <w:tcPr>
            <w:tcW w:w="1075" w:type="dxa"/>
            <w:tcBorders>
              <w:top w:val="single" w:sz="12" w:space="0" w:color="auto"/>
              <w:left w:val="single" w:sz="12" w:space="0" w:color="auto"/>
              <w:bottom w:val="single" w:sz="12" w:space="0" w:color="auto"/>
            </w:tcBorders>
            <w:vAlign w:val="center"/>
          </w:tcPr>
          <w:p w14:paraId="57F54788" w14:textId="0176E864" w:rsidR="00414EBB" w:rsidRPr="00414EBB" w:rsidRDefault="00414EBB" w:rsidP="00414EBB">
            <w:pPr>
              <w:spacing w:before="120" w:after="120"/>
              <w:jc w:val="center"/>
              <w:rPr>
                <w:b/>
                <w:bCs/>
              </w:rPr>
            </w:pPr>
            <w:r w:rsidRPr="00414EBB">
              <w:rPr>
                <w:rFonts w:cs="Calibri"/>
                <w:color w:val="000000"/>
              </w:rPr>
              <w:t>Veľkosť domu</w:t>
            </w:r>
          </w:p>
        </w:tc>
        <w:tc>
          <w:tcPr>
            <w:tcW w:w="1017" w:type="dxa"/>
            <w:tcBorders>
              <w:top w:val="single" w:sz="12" w:space="0" w:color="auto"/>
              <w:bottom w:val="single" w:sz="12" w:space="0" w:color="auto"/>
            </w:tcBorders>
            <w:vAlign w:val="center"/>
          </w:tcPr>
          <w:p w14:paraId="1166C9A7" w14:textId="7C5CF652" w:rsidR="00414EBB" w:rsidRPr="00414EBB" w:rsidRDefault="00414EBB" w:rsidP="00414EBB">
            <w:pPr>
              <w:spacing w:before="120" w:after="120"/>
              <w:jc w:val="center"/>
              <w:rPr>
                <w:rFonts w:cs="Calibri"/>
                <w:color w:val="000000"/>
              </w:rPr>
            </w:pPr>
            <w:r>
              <w:rPr>
                <w:rFonts w:cs="Calibri"/>
                <w:color w:val="000000"/>
              </w:rPr>
              <w:t>Počet podlaží</w:t>
            </w:r>
          </w:p>
        </w:tc>
        <w:tc>
          <w:tcPr>
            <w:tcW w:w="1204" w:type="dxa"/>
            <w:tcBorders>
              <w:top w:val="single" w:sz="12" w:space="0" w:color="auto"/>
              <w:bottom w:val="single" w:sz="12" w:space="0" w:color="auto"/>
            </w:tcBorders>
            <w:vAlign w:val="center"/>
          </w:tcPr>
          <w:p w14:paraId="77C622F1" w14:textId="65DE04B0" w:rsidR="00414EBB" w:rsidRPr="00414EBB" w:rsidRDefault="00414EBB" w:rsidP="00414EBB">
            <w:pPr>
              <w:spacing w:before="120" w:after="120"/>
              <w:jc w:val="center"/>
              <w:rPr>
                <w:b/>
                <w:bCs/>
              </w:rPr>
            </w:pPr>
            <w:r w:rsidRPr="00414EBB">
              <w:rPr>
                <w:rFonts w:cs="Calibri"/>
                <w:color w:val="000000"/>
              </w:rPr>
              <w:t>Celková podlahová plocha [m</w:t>
            </w:r>
            <w:r w:rsidRPr="00414EBB">
              <w:rPr>
                <w:rFonts w:cs="Calibri"/>
                <w:color w:val="000000"/>
                <w:vertAlign w:val="superscript"/>
              </w:rPr>
              <w:t>2</w:t>
            </w:r>
            <w:r w:rsidRPr="00414EBB">
              <w:rPr>
                <w:rFonts w:cs="Calibri"/>
                <w:color w:val="000000"/>
              </w:rPr>
              <w:t>]</w:t>
            </w:r>
          </w:p>
        </w:tc>
        <w:tc>
          <w:tcPr>
            <w:tcW w:w="1208" w:type="dxa"/>
            <w:tcBorders>
              <w:top w:val="single" w:sz="12" w:space="0" w:color="auto"/>
              <w:bottom w:val="single" w:sz="12" w:space="0" w:color="auto"/>
            </w:tcBorders>
            <w:vAlign w:val="center"/>
          </w:tcPr>
          <w:p w14:paraId="07375F08" w14:textId="19EF1375" w:rsidR="00414EBB" w:rsidRPr="00414EBB" w:rsidRDefault="00414EBB" w:rsidP="00414EBB">
            <w:pPr>
              <w:spacing w:before="120" w:after="120"/>
              <w:jc w:val="center"/>
              <w:rPr>
                <w:b/>
                <w:bCs/>
              </w:rPr>
            </w:pPr>
            <w:r w:rsidRPr="00414EBB">
              <w:rPr>
                <w:rFonts w:cs="Calibri"/>
                <w:color w:val="000000"/>
              </w:rPr>
              <w:t>Plocha obvodový plášť [m</w:t>
            </w:r>
            <w:r w:rsidRPr="00414EBB">
              <w:rPr>
                <w:rFonts w:cs="Calibri"/>
                <w:color w:val="000000"/>
                <w:vertAlign w:val="superscript"/>
              </w:rPr>
              <w:t>2</w:t>
            </w:r>
            <w:r w:rsidRPr="00414EBB">
              <w:rPr>
                <w:rFonts w:cs="Calibri"/>
                <w:color w:val="000000"/>
              </w:rPr>
              <w:t>]</w:t>
            </w:r>
          </w:p>
        </w:tc>
        <w:tc>
          <w:tcPr>
            <w:tcW w:w="1419" w:type="dxa"/>
            <w:tcBorders>
              <w:top w:val="single" w:sz="12" w:space="0" w:color="auto"/>
              <w:bottom w:val="single" w:sz="12" w:space="0" w:color="auto"/>
            </w:tcBorders>
            <w:vAlign w:val="center"/>
          </w:tcPr>
          <w:p w14:paraId="22EB5CAE" w14:textId="6812C0E5" w:rsidR="00414EBB" w:rsidRPr="00414EBB" w:rsidRDefault="00414EBB" w:rsidP="00414EBB">
            <w:pPr>
              <w:spacing w:before="120" w:after="120"/>
              <w:jc w:val="center"/>
              <w:rPr>
                <w:b/>
                <w:bCs/>
              </w:rPr>
            </w:pPr>
            <w:r w:rsidRPr="00414EBB">
              <w:rPr>
                <w:rFonts w:cs="Calibri"/>
                <w:color w:val="000000"/>
              </w:rPr>
              <w:t>Plocha strechy/stropu pod nevykur</w:t>
            </w:r>
            <w:r w:rsidR="00672ACB">
              <w:rPr>
                <w:rFonts w:cs="Calibri"/>
                <w:color w:val="000000"/>
              </w:rPr>
              <w:t>ovaným</w:t>
            </w:r>
            <w:r w:rsidRPr="00414EBB">
              <w:rPr>
                <w:rFonts w:cs="Calibri"/>
                <w:color w:val="000000"/>
              </w:rPr>
              <w:t xml:space="preserve"> podkrovím [m</w:t>
            </w:r>
            <w:r w:rsidRPr="00414EBB">
              <w:rPr>
                <w:rFonts w:cs="Calibri"/>
                <w:color w:val="000000"/>
                <w:vertAlign w:val="superscript"/>
              </w:rPr>
              <w:t>2</w:t>
            </w:r>
            <w:r w:rsidRPr="00414EBB">
              <w:rPr>
                <w:rFonts w:cs="Calibri"/>
                <w:color w:val="000000"/>
              </w:rPr>
              <w:t>]</w:t>
            </w:r>
          </w:p>
        </w:tc>
        <w:tc>
          <w:tcPr>
            <w:tcW w:w="1195" w:type="dxa"/>
            <w:tcBorders>
              <w:top w:val="single" w:sz="12" w:space="0" w:color="auto"/>
              <w:bottom w:val="single" w:sz="12" w:space="0" w:color="auto"/>
            </w:tcBorders>
            <w:vAlign w:val="center"/>
          </w:tcPr>
          <w:p w14:paraId="72456389" w14:textId="7E70148C" w:rsidR="00414EBB" w:rsidRPr="00414EBB" w:rsidRDefault="00414EBB" w:rsidP="00414EBB">
            <w:pPr>
              <w:spacing w:before="120" w:after="120"/>
              <w:jc w:val="center"/>
              <w:rPr>
                <w:b/>
                <w:bCs/>
              </w:rPr>
            </w:pPr>
            <w:r w:rsidRPr="00414EBB">
              <w:rPr>
                <w:rFonts w:cs="Calibri"/>
                <w:color w:val="000000"/>
              </w:rPr>
              <w:t>Plocha podlahy nad suterénom [m</w:t>
            </w:r>
            <w:r w:rsidRPr="00414EBB">
              <w:rPr>
                <w:rFonts w:cs="Calibri"/>
                <w:color w:val="000000"/>
                <w:vertAlign w:val="superscript"/>
              </w:rPr>
              <w:t>2</w:t>
            </w:r>
            <w:r w:rsidRPr="00414EBB">
              <w:rPr>
                <w:rFonts w:cs="Calibri"/>
                <w:color w:val="000000"/>
              </w:rPr>
              <w:t>]</w:t>
            </w:r>
          </w:p>
        </w:tc>
        <w:tc>
          <w:tcPr>
            <w:tcW w:w="1206" w:type="dxa"/>
            <w:tcBorders>
              <w:top w:val="single" w:sz="12" w:space="0" w:color="auto"/>
              <w:bottom w:val="single" w:sz="12" w:space="0" w:color="auto"/>
              <w:right w:val="single" w:sz="12" w:space="0" w:color="auto"/>
            </w:tcBorders>
            <w:vAlign w:val="center"/>
          </w:tcPr>
          <w:p w14:paraId="6B08705C" w14:textId="2CD143C9" w:rsidR="00414EBB" w:rsidRPr="00414EBB" w:rsidRDefault="00414EBB" w:rsidP="00414EBB">
            <w:pPr>
              <w:spacing w:before="120" w:after="120"/>
              <w:jc w:val="center"/>
              <w:rPr>
                <w:b/>
                <w:bCs/>
              </w:rPr>
            </w:pPr>
            <w:r w:rsidRPr="00414EBB">
              <w:rPr>
                <w:rFonts w:cs="Calibri"/>
                <w:color w:val="000000"/>
              </w:rPr>
              <w:t>Plocha výplňových konštrukcií [m</w:t>
            </w:r>
            <w:r w:rsidRPr="00414EBB">
              <w:rPr>
                <w:rFonts w:cs="Calibri"/>
                <w:color w:val="000000"/>
                <w:vertAlign w:val="superscript"/>
              </w:rPr>
              <w:t>2</w:t>
            </w:r>
            <w:r w:rsidRPr="00414EBB">
              <w:rPr>
                <w:rFonts w:cs="Calibri"/>
                <w:color w:val="000000"/>
              </w:rPr>
              <w:t>]</w:t>
            </w:r>
          </w:p>
        </w:tc>
      </w:tr>
      <w:tr w:rsidR="00414EBB" w14:paraId="674201D0" w14:textId="77777777" w:rsidTr="00E97D54">
        <w:tc>
          <w:tcPr>
            <w:tcW w:w="738" w:type="dxa"/>
            <w:tcBorders>
              <w:top w:val="single" w:sz="12" w:space="0" w:color="auto"/>
              <w:left w:val="single" w:sz="12" w:space="0" w:color="auto"/>
              <w:right w:val="single" w:sz="12" w:space="0" w:color="auto"/>
            </w:tcBorders>
            <w:vAlign w:val="center"/>
          </w:tcPr>
          <w:p w14:paraId="60A706CB" w14:textId="5CA9F6D4" w:rsidR="00414EBB" w:rsidRPr="00E97D54" w:rsidRDefault="00414EBB" w:rsidP="00414EBB">
            <w:pPr>
              <w:rPr>
                <w:b/>
                <w:bCs/>
              </w:rPr>
            </w:pPr>
            <w:r w:rsidRPr="00E97D54">
              <w:rPr>
                <w:b/>
                <w:bCs/>
              </w:rPr>
              <w:t>RD_</w:t>
            </w:r>
            <w:r w:rsidR="00E97D54">
              <w:rPr>
                <w:b/>
                <w:bCs/>
              </w:rPr>
              <w:t>M</w:t>
            </w:r>
          </w:p>
        </w:tc>
        <w:tc>
          <w:tcPr>
            <w:tcW w:w="1075" w:type="dxa"/>
            <w:tcBorders>
              <w:top w:val="single" w:sz="12" w:space="0" w:color="auto"/>
              <w:left w:val="single" w:sz="12" w:space="0" w:color="auto"/>
            </w:tcBorders>
            <w:vAlign w:val="bottom"/>
          </w:tcPr>
          <w:p w14:paraId="02BC83EC" w14:textId="7322327C" w:rsidR="00414EBB" w:rsidRPr="00414EBB" w:rsidRDefault="00414EBB" w:rsidP="00414EBB">
            <w:pPr>
              <w:spacing w:before="120" w:after="120"/>
              <w:jc w:val="center"/>
            </w:pPr>
            <w:r w:rsidRPr="00414EBB">
              <w:rPr>
                <w:rFonts w:cs="Calibri"/>
                <w:color w:val="000000"/>
              </w:rPr>
              <w:t>Malý RD</w:t>
            </w:r>
          </w:p>
        </w:tc>
        <w:tc>
          <w:tcPr>
            <w:tcW w:w="1017" w:type="dxa"/>
            <w:tcBorders>
              <w:top w:val="single" w:sz="12" w:space="0" w:color="auto"/>
            </w:tcBorders>
            <w:vAlign w:val="center"/>
          </w:tcPr>
          <w:p w14:paraId="1689C873" w14:textId="1562A299" w:rsidR="00414EBB" w:rsidRPr="00414EBB" w:rsidRDefault="00414EBB" w:rsidP="00414EBB">
            <w:pPr>
              <w:spacing w:before="120" w:after="120"/>
              <w:jc w:val="center"/>
              <w:rPr>
                <w:rFonts w:cs="Calibri"/>
                <w:color w:val="000000"/>
              </w:rPr>
            </w:pPr>
            <w:r>
              <w:rPr>
                <w:rFonts w:cs="Calibri"/>
                <w:color w:val="000000"/>
              </w:rPr>
              <w:t>1</w:t>
            </w:r>
          </w:p>
        </w:tc>
        <w:tc>
          <w:tcPr>
            <w:tcW w:w="1204" w:type="dxa"/>
            <w:tcBorders>
              <w:top w:val="single" w:sz="12" w:space="0" w:color="auto"/>
            </w:tcBorders>
            <w:vAlign w:val="center"/>
          </w:tcPr>
          <w:p w14:paraId="300137D1" w14:textId="2F52CCDB" w:rsidR="00414EBB" w:rsidRPr="00414EBB" w:rsidRDefault="00414EBB" w:rsidP="00414EBB">
            <w:pPr>
              <w:spacing w:before="120" w:after="120"/>
              <w:jc w:val="center"/>
              <w:rPr>
                <w:b/>
                <w:bCs/>
              </w:rPr>
            </w:pPr>
            <w:r w:rsidRPr="00414EBB">
              <w:rPr>
                <w:rFonts w:cs="Calibri"/>
                <w:color w:val="000000"/>
              </w:rPr>
              <w:t>99,00</w:t>
            </w:r>
          </w:p>
        </w:tc>
        <w:tc>
          <w:tcPr>
            <w:tcW w:w="1208" w:type="dxa"/>
            <w:tcBorders>
              <w:top w:val="single" w:sz="12" w:space="0" w:color="auto"/>
            </w:tcBorders>
            <w:vAlign w:val="center"/>
          </w:tcPr>
          <w:p w14:paraId="39C710BD" w14:textId="160C879F" w:rsidR="00414EBB" w:rsidRPr="00414EBB" w:rsidRDefault="00414EBB" w:rsidP="00414EBB">
            <w:pPr>
              <w:spacing w:before="120" w:after="120"/>
              <w:jc w:val="center"/>
              <w:rPr>
                <w:b/>
                <w:bCs/>
              </w:rPr>
            </w:pPr>
            <w:r w:rsidRPr="00414EBB">
              <w:rPr>
                <w:rFonts w:cs="Calibri"/>
                <w:color w:val="000000"/>
              </w:rPr>
              <w:t>117,60</w:t>
            </w:r>
          </w:p>
        </w:tc>
        <w:tc>
          <w:tcPr>
            <w:tcW w:w="1419" w:type="dxa"/>
            <w:tcBorders>
              <w:top w:val="single" w:sz="12" w:space="0" w:color="auto"/>
            </w:tcBorders>
            <w:vAlign w:val="center"/>
          </w:tcPr>
          <w:p w14:paraId="0E82F725" w14:textId="79BB9B27" w:rsidR="00414EBB" w:rsidRPr="00414EBB" w:rsidRDefault="00414EBB" w:rsidP="00414EBB">
            <w:pPr>
              <w:spacing w:before="120" w:after="120"/>
              <w:jc w:val="center"/>
            </w:pPr>
            <w:r w:rsidRPr="00414EBB">
              <w:rPr>
                <w:rFonts w:cs="Calibri"/>
                <w:color w:val="000000"/>
              </w:rPr>
              <w:t>99,03</w:t>
            </w:r>
          </w:p>
        </w:tc>
        <w:tc>
          <w:tcPr>
            <w:tcW w:w="1195" w:type="dxa"/>
            <w:tcBorders>
              <w:top w:val="single" w:sz="12" w:space="0" w:color="auto"/>
            </w:tcBorders>
            <w:vAlign w:val="center"/>
          </w:tcPr>
          <w:p w14:paraId="24D9E4E6" w14:textId="2D3C2772" w:rsidR="00414EBB" w:rsidRPr="00414EBB" w:rsidRDefault="00414EBB" w:rsidP="00414EBB">
            <w:pPr>
              <w:spacing w:before="120" w:after="120"/>
              <w:jc w:val="center"/>
            </w:pPr>
            <w:r w:rsidRPr="00414EBB">
              <w:rPr>
                <w:rFonts w:cs="Calibri"/>
                <w:color w:val="000000"/>
              </w:rPr>
              <w:t>99,03</w:t>
            </w:r>
          </w:p>
        </w:tc>
        <w:tc>
          <w:tcPr>
            <w:tcW w:w="1206" w:type="dxa"/>
            <w:tcBorders>
              <w:top w:val="single" w:sz="12" w:space="0" w:color="auto"/>
              <w:right w:val="single" w:sz="12" w:space="0" w:color="auto"/>
            </w:tcBorders>
            <w:vAlign w:val="center"/>
          </w:tcPr>
          <w:p w14:paraId="562F14E9" w14:textId="77C2190D" w:rsidR="00414EBB" w:rsidRPr="00414EBB" w:rsidRDefault="00414EBB" w:rsidP="00414EBB">
            <w:pPr>
              <w:spacing w:before="120" w:after="120"/>
              <w:jc w:val="center"/>
            </w:pPr>
            <w:r w:rsidRPr="00414EBB">
              <w:rPr>
                <w:rFonts w:cs="Calibri"/>
                <w:color w:val="000000"/>
              </w:rPr>
              <w:t>15,36</w:t>
            </w:r>
          </w:p>
        </w:tc>
      </w:tr>
      <w:tr w:rsidR="00414EBB" w14:paraId="2D5002EA" w14:textId="77777777" w:rsidTr="00E97D54">
        <w:tc>
          <w:tcPr>
            <w:tcW w:w="738" w:type="dxa"/>
            <w:tcBorders>
              <w:left w:val="single" w:sz="12" w:space="0" w:color="auto"/>
              <w:right w:val="single" w:sz="12" w:space="0" w:color="auto"/>
            </w:tcBorders>
            <w:vAlign w:val="center"/>
          </w:tcPr>
          <w:p w14:paraId="12F9F1F8" w14:textId="5F715488" w:rsidR="00414EBB" w:rsidRPr="00E97D54" w:rsidRDefault="00414EBB" w:rsidP="00414EBB">
            <w:pPr>
              <w:spacing w:before="120" w:after="120"/>
              <w:rPr>
                <w:b/>
                <w:bCs/>
              </w:rPr>
            </w:pPr>
            <w:r w:rsidRPr="00E97D54">
              <w:rPr>
                <w:b/>
                <w:bCs/>
              </w:rPr>
              <w:t>RD_</w:t>
            </w:r>
            <w:r w:rsidR="00E97D54">
              <w:rPr>
                <w:b/>
                <w:bCs/>
              </w:rPr>
              <w:t>S</w:t>
            </w:r>
          </w:p>
        </w:tc>
        <w:tc>
          <w:tcPr>
            <w:tcW w:w="1075" w:type="dxa"/>
            <w:tcBorders>
              <w:left w:val="single" w:sz="12" w:space="0" w:color="auto"/>
            </w:tcBorders>
            <w:vAlign w:val="bottom"/>
          </w:tcPr>
          <w:p w14:paraId="19C463FA" w14:textId="6C48035A" w:rsidR="00414EBB" w:rsidRPr="00414EBB" w:rsidRDefault="00414EBB" w:rsidP="00414EBB">
            <w:pPr>
              <w:spacing w:before="120" w:after="120"/>
              <w:jc w:val="center"/>
            </w:pPr>
            <w:r w:rsidRPr="00414EBB">
              <w:rPr>
                <w:rFonts w:cs="Calibri"/>
                <w:color w:val="000000"/>
              </w:rPr>
              <w:t>Stredný RD</w:t>
            </w:r>
          </w:p>
        </w:tc>
        <w:tc>
          <w:tcPr>
            <w:tcW w:w="1017" w:type="dxa"/>
            <w:vAlign w:val="center"/>
          </w:tcPr>
          <w:p w14:paraId="0B2C346F" w14:textId="04049656" w:rsidR="00414EBB" w:rsidRPr="00414EBB" w:rsidRDefault="00414EBB" w:rsidP="00414EBB">
            <w:pPr>
              <w:spacing w:before="120" w:after="120"/>
              <w:jc w:val="center"/>
              <w:rPr>
                <w:rFonts w:cs="Calibri"/>
                <w:color w:val="000000"/>
              </w:rPr>
            </w:pPr>
            <w:r>
              <w:rPr>
                <w:rFonts w:cs="Calibri"/>
                <w:color w:val="000000"/>
              </w:rPr>
              <w:t>2</w:t>
            </w:r>
          </w:p>
        </w:tc>
        <w:tc>
          <w:tcPr>
            <w:tcW w:w="1204" w:type="dxa"/>
            <w:vAlign w:val="center"/>
          </w:tcPr>
          <w:p w14:paraId="08739D22" w14:textId="3EDBA3EB" w:rsidR="00414EBB" w:rsidRPr="00414EBB" w:rsidRDefault="00414EBB" w:rsidP="00414EBB">
            <w:pPr>
              <w:spacing w:before="120" w:after="120"/>
              <w:jc w:val="center"/>
              <w:rPr>
                <w:b/>
                <w:bCs/>
              </w:rPr>
            </w:pPr>
            <w:r w:rsidRPr="00414EBB">
              <w:rPr>
                <w:rFonts w:cs="Calibri"/>
                <w:color w:val="000000"/>
              </w:rPr>
              <w:t>131,80</w:t>
            </w:r>
          </w:p>
        </w:tc>
        <w:tc>
          <w:tcPr>
            <w:tcW w:w="1208" w:type="dxa"/>
            <w:vAlign w:val="center"/>
          </w:tcPr>
          <w:p w14:paraId="565FCE9B" w14:textId="4C4E4371" w:rsidR="00414EBB" w:rsidRPr="00414EBB" w:rsidRDefault="00414EBB" w:rsidP="00414EBB">
            <w:pPr>
              <w:spacing w:before="120" w:after="120"/>
              <w:jc w:val="center"/>
              <w:rPr>
                <w:b/>
                <w:bCs/>
              </w:rPr>
            </w:pPr>
            <w:r w:rsidRPr="00414EBB">
              <w:rPr>
                <w:rFonts w:cs="Calibri"/>
                <w:color w:val="000000"/>
              </w:rPr>
              <w:t>181,20</w:t>
            </w:r>
          </w:p>
        </w:tc>
        <w:tc>
          <w:tcPr>
            <w:tcW w:w="1419" w:type="dxa"/>
            <w:vAlign w:val="center"/>
          </w:tcPr>
          <w:p w14:paraId="02731239" w14:textId="717E2282" w:rsidR="00414EBB" w:rsidRPr="00414EBB" w:rsidRDefault="00414EBB" w:rsidP="00414EBB">
            <w:pPr>
              <w:spacing w:before="120" w:after="120"/>
              <w:jc w:val="center"/>
            </w:pPr>
            <w:r w:rsidRPr="00414EBB">
              <w:rPr>
                <w:rFonts w:cs="Calibri"/>
                <w:color w:val="000000"/>
              </w:rPr>
              <w:t>65,88</w:t>
            </w:r>
          </w:p>
        </w:tc>
        <w:tc>
          <w:tcPr>
            <w:tcW w:w="1195" w:type="dxa"/>
            <w:vAlign w:val="center"/>
          </w:tcPr>
          <w:p w14:paraId="3486056C" w14:textId="0EFEDAFA" w:rsidR="00414EBB" w:rsidRPr="00414EBB" w:rsidRDefault="00414EBB" w:rsidP="00414EBB">
            <w:pPr>
              <w:spacing w:before="120" w:after="120"/>
              <w:jc w:val="center"/>
            </w:pPr>
            <w:r w:rsidRPr="00414EBB">
              <w:rPr>
                <w:rFonts w:cs="Calibri"/>
                <w:color w:val="000000"/>
              </w:rPr>
              <w:t>65,88</w:t>
            </w:r>
          </w:p>
        </w:tc>
        <w:tc>
          <w:tcPr>
            <w:tcW w:w="1206" w:type="dxa"/>
            <w:tcBorders>
              <w:right w:val="single" w:sz="12" w:space="0" w:color="auto"/>
            </w:tcBorders>
            <w:vAlign w:val="center"/>
          </w:tcPr>
          <w:p w14:paraId="148AD668" w14:textId="62236523" w:rsidR="00414EBB" w:rsidRPr="00414EBB" w:rsidRDefault="00414EBB" w:rsidP="00414EBB">
            <w:pPr>
              <w:spacing w:before="120" w:after="120"/>
              <w:jc w:val="center"/>
            </w:pPr>
            <w:r w:rsidRPr="00414EBB">
              <w:rPr>
                <w:rFonts w:cs="Calibri"/>
                <w:color w:val="000000"/>
              </w:rPr>
              <w:t>26,23</w:t>
            </w:r>
          </w:p>
        </w:tc>
      </w:tr>
      <w:tr w:rsidR="00414EBB" w14:paraId="211F7CA3" w14:textId="77777777" w:rsidTr="00E97D54">
        <w:tc>
          <w:tcPr>
            <w:tcW w:w="738" w:type="dxa"/>
            <w:tcBorders>
              <w:left w:val="single" w:sz="12" w:space="0" w:color="auto"/>
              <w:bottom w:val="single" w:sz="12" w:space="0" w:color="auto"/>
              <w:right w:val="single" w:sz="12" w:space="0" w:color="auto"/>
            </w:tcBorders>
            <w:vAlign w:val="center"/>
          </w:tcPr>
          <w:p w14:paraId="374FFC09" w14:textId="2E2E4B70" w:rsidR="00414EBB" w:rsidRPr="00E97D54" w:rsidRDefault="00414EBB" w:rsidP="00414EBB">
            <w:pPr>
              <w:spacing w:before="120" w:after="120"/>
              <w:rPr>
                <w:b/>
                <w:bCs/>
              </w:rPr>
            </w:pPr>
            <w:r w:rsidRPr="00E97D54">
              <w:rPr>
                <w:b/>
                <w:bCs/>
              </w:rPr>
              <w:t>RD_</w:t>
            </w:r>
            <w:r w:rsidR="00E97D54">
              <w:rPr>
                <w:b/>
                <w:bCs/>
              </w:rPr>
              <w:t>V</w:t>
            </w:r>
          </w:p>
        </w:tc>
        <w:tc>
          <w:tcPr>
            <w:tcW w:w="1075" w:type="dxa"/>
            <w:tcBorders>
              <w:left w:val="single" w:sz="12" w:space="0" w:color="auto"/>
              <w:bottom w:val="single" w:sz="12" w:space="0" w:color="auto"/>
            </w:tcBorders>
            <w:vAlign w:val="bottom"/>
          </w:tcPr>
          <w:p w14:paraId="1284C435" w14:textId="02EBD206" w:rsidR="00414EBB" w:rsidRPr="00414EBB" w:rsidRDefault="00414EBB" w:rsidP="00414EBB">
            <w:pPr>
              <w:spacing w:before="120" w:after="120"/>
              <w:jc w:val="center"/>
            </w:pPr>
            <w:r w:rsidRPr="00414EBB">
              <w:rPr>
                <w:rFonts w:cs="Calibri"/>
                <w:color w:val="000000"/>
              </w:rPr>
              <w:t>Veľký RD</w:t>
            </w:r>
          </w:p>
        </w:tc>
        <w:tc>
          <w:tcPr>
            <w:tcW w:w="1017" w:type="dxa"/>
            <w:tcBorders>
              <w:bottom w:val="single" w:sz="12" w:space="0" w:color="auto"/>
            </w:tcBorders>
            <w:vAlign w:val="center"/>
          </w:tcPr>
          <w:p w14:paraId="0295EA24" w14:textId="3F08110C" w:rsidR="00414EBB" w:rsidRPr="00414EBB" w:rsidRDefault="00414EBB" w:rsidP="00414EBB">
            <w:pPr>
              <w:spacing w:before="120" w:after="120"/>
              <w:jc w:val="center"/>
              <w:rPr>
                <w:rFonts w:cs="Calibri"/>
                <w:color w:val="000000"/>
              </w:rPr>
            </w:pPr>
            <w:r>
              <w:rPr>
                <w:rFonts w:cs="Calibri"/>
                <w:color w:val="000000"/>
              </w:rPr>
              <w:t>2</w:t>
            </w:r>
          </w:p>
        </w:tc>
        <w:tc>
          <w:tcPr>
            <w:tcW w:w="1204" w:type="dxa"/>
            <w:tcBorders>
              <w:bottom w:val="single" w:sz="12" w:space="0" w:color="auto"/>
            </w:tcBorders>
            <w:vAlign w:val="center"/>
          </w:tcPr>
          <w:p w14:paraId="4DBE666C" w14:textId="39E4336F" w:rsidR="00414EBB" w:rsidRPr="00414EBB" w:rsidRDefault="00414EBB" w:rsidP="00414EBB">
            <w:pPr>
              <w:spacing w:before="120" w:after="120"/>
              <w:jc w:val="center"/>
              <w:rPr>
                <w:b/>
                <w:bCs/>
              </w:rPr>
            </w:pPr>
            <w:r w:rsidRPr="00414EBB">
              <w:rPr>
                <w:rFonts w:cs="Calibri"/>
                <w:color w:val="000000"/>
              </w:rPr>
              <w:t>209,00</w:t>
            </w:r>
          </w:p>
        </w:tc>
        <w:tc>
          <w:tcPr>
            <w:tcW w:w="1208" w:type="dxa"/>
            <w:tcBorders>
              <w:bottom w:val="single" w:sz="12" w:space="0" w:color="auto"/>
            </w:tcBorders>
            <w:vAlign w:val="center"/>
          </w:tcPr>
          <w:p w14:paraId="1C6C24F0" w14:textId="08CA6104" w:rsidR="00414EBB" w:rsidRPr="00414EBB" w:rsidRDefault="00414EBB" w:rsidP="00414EBB">
            <w:pPr>
              <w:pStyle w:val="Default"/>
              <w:jc w:val="center"/>
              <w:rPr>
                <w:b/>
                <w:bCs/>
                <w:sz w:val="20"/>
                <w:szCs w:val="20"/>
              </w:rPr>
            </w:pPr>
            <w:r w:rsidRPr="00414EBB">
              <w:rPr>
                <w:rFonts w:ascii="Calibri" w:hAnsi="Calibri" w:cs="Calibri"/>
                <w:sz w:val="20"/>
                <w:szCs w:val="20"/>
              </w:rPr>
              <w:t>226,10</w:t>
            </w:r>
          </w:p>
        </w:tc>
        <w:tc>
          <w:tcPr>
            <w:tcW w:w="1419" w:type="dxa"/>
            <w:tcBorders>
              <w:bottom w:val="single" w:sz="12" w:space="0" w:color="auto"/>
            </w:tcBorders>
            <w:vAlign w:val="center"/>
          </w:tcPr>
          <w:p w14:paraId="662CD58F" w14:textId="56F8994A" w:rsidR="00414EBB" w:rsidRPr="00414EBB" w:rsidRDefault="00414EBB" w:rsidP="00414EBB">
            <w:pPr>
              <w:spacing w:before="120" w:after="120"/>
              <w:jc w:val="center"/>
              <w:rPr>
                <w:b/>
                <w:bCs/>
              </w:rPr>
            </w:pPr>
            <w:r w:rsidRPr="00414EBB">
              <w:rPr>
                <w:rFonts w:cs="Calibri"/>
                <w:color w:val="000000"/>
              </w:rPr>
              <w:t>108,50</w:t>
            </w:r>
          </w:p>
        </w:tc>
        <w:tc>
          <w:tcPr>
            <w:tcW w:w="1195" w:type="dxa"/>
            <w:tcBorders>
              <w:bottom w:val="single" w:sz="12" w:space="0" w:color="auto"/>
            </w:tcBorders>
            <w:vAlign w:val="center"/>
          </w:tcPr>
          <w:p w14:paraId="7BD1CDA5" w14:textId="1A1D86A0" w:rsidR="00414EBB" w:rsidRPr="00414EBB" w:rsidRDefault="00414EBB" w:rsidP="00414EBB">
            <w:pPr>
              <w:spacing w:before="120" w:after="120"/>
              <w:jc w:val="center"/>
              <w:rPr>
                <w:b/>
                <w:bCs/>
              </w:rPr>
            </w:pPr>
            <w:r w:rsidRPr="00414EBB">
              <w:rPr>
                <w:rFonts w:cs="Calibri"/>
                <w:color w:val="000000"/>
              </w:rPr>
              <w:t>108,50</w:t>
            </w:r>
          </w:p>
        </w:tc>
        <w:tc>
          <w:tcPr>
            <w:tcW w:w="1206" w:type="dxa"/>
            <w:tcBorders>
              <w:bottom w:val="single" w:sz="12" w:space="0" w:color="auto"/>
              <w:right w:val="single" w:sz="12" w:space="0" w:color="auto"/>
            </w:tcBorders>
            <w:vAlign w:val="center"/>
          </w:tcPr>
          <w:p w14:paraId="3ACB3791" w14:textId="79C25A53" w:rsidR="00414EBB" w:rsidRPr="00414EBB" w:rsidRDefault="00414EBB" w:rsidP="00414EBB">
            <w:pPr>
              <w:spacing w:before="120" w:after="120"/>
              <w:jc w:val="center"/>
            </w:pPr>
            <w:r w:rsidRPr="00414EBB">
              <w:rPr>
                <w:rFonts w:cs="Calibri"/>
                <w:color w:val="000000"/>
              </w:rPr>
              <w:t>41,53</w:t>
            </w:r>
          </w:p>
        </w:tc>
      </w:tr>
    </w:tbl>
    <w:p w14:paraId="60422E7D" w14:textId="4E83C013" w:rsidR="00C174EE" w:rsidRPr="00F014EA" w:rsidRDefault="00C174EE" w:rsidP="00C174EE">
      <w:pPr>
        <w:spacing w:before="120" w:after="120"/>
      </w:pPr>
      <w:r>
        <w:t>*označenie typu veľkosti M,S,V = Malý, Stredný a Veľký rodinný dom</w:t>
      </w:r>
    </w:p>
    <w:p w14:paraId="158E163D" w14:textId="06F7E201" w:rsidR="00414EBB" w:rsidRDefault="00414EBB" w:rsidP="004B30AE">
      <w:pPr>
        <w:pStyle w:val="Default"/>
      </w:pPr>
    </w:p>
    <w:p w14:paraId="5F55822B" w14:textId="67D02C8E" w:rsidR="00414EBB" w:rsidRPr="00207C11" w:rsidRDefault="00414EBB" w:rsidP="00414EBB">
      <w:pPr>
        <w:spacing w:before="120" w:after="120"/>
        <w:rPr>
          <w:i/>
          <w:iCs/>
        </w:rPr>
      </w:pPr>
      <w:r w:rsidRPr="00207C11">
        <w:rPr>
          <w:i/>
          <w:iCs/>
        </w:rPr>
        <w:t>Tab</w:t>
      </w:r>
      <w:r w:rsidR="00207C11">
        <w:rPr>
          <w:i/>
          <w:iCs/>
        </w:rPr>
        <w:t xml:space="preserve">. </w:t>
      </w:r>
      <w:r w:rsidR="009D46B3">
        <w:rPr>
          <w:i/>
          <w:iCs/>
        </w:rPr>
        <w:t>8</w:t>
      </w:r>
      <w:r w:rsidR="00207C11">
        <w:rPr>
          <w:i/>
          <w:iCs/>
        </w:rPr>
        <w:t>:</w:t>
      </w:r>
      <w:r w:rsidRPr="00207C11">
        <w:rPr>
          <w:i/>
          <w:iCs/>
        </w:rPr>
        <w:t xml:space="preserve"> </w:t>
      </w:r>
      <w:r w:rsidR="00A6602F" w:rsidRPr="00207C11">
        <w:rPr>
          <w:i/>
          <w:iCs/>
        </w:rPr>
        <w:t>Geometria referenčných rodinných domov</w:t>
      </w:r>
      <w:r w:rsidRPr="00207C11">
        <w:rPr>
          <w:i/>
          <w:iCs/>
        </w:rPr>
        <w:t xml:space="preserve"> (pohľady)</w:t>
      </w:r>
    </w:p>
    <w:tbl>
      <w:tblPr>
        <w:tblStyle w:val="Mkatabulky"/>
        <w:tblW w:w="9067" w:type="dxa"/>
        <w:tblLook w:val="04A0" w:firstRow="1" w:lastRow="0" w:firstColumn="1" w:lastColumn="0" w:noHBand="0" w:noVBand="1"/>
      </w:tblPr>
      <w:tblGrid>
        <w:gridCol w:w="738"/>
        <w:gridCol w:w="8329"/>
      </w:tblGrid>
      <w:tr w:rsidR="00414EBB" w:rsidRPr="00414EBB" w14:paraId="2ADB68D4" w14:textId="77777777" w:rsidTr="00672ACB">
        <w:trPr>
          <w:trHeight w:val="1545"/>
        </w:trPr>
        <w:tc>
          <w:tcPr>
            <w:tcW w:w="738" w:type="dxa"/>
            <w:shd w:val="clear" w:color="auto" w:fill="BACFA8"/>
            <w:vAlign w:val="center"/>
          </w:tcPr>
          <w:p w14:paraId="67591C2C" w14:textId="3B9278CA" w:rsidR="00414EBB" w:rsidRPr="00414EBB" w:rsidRDefault="00414EBB" w:rsidP="00075E0F">
            <w:r w:rsidRPr="00414EBB">
              <w:t>RD_</w:t>
            </w:r>
            <w:r w:rsidR="00E97D54">
              <w:t>M</w:t>
            </w:r>
          </w:p>
        </w:tc>
        <w:tc>
          <w:tcPr>
            <w:tcW w:w="8329" w:type="dxa"/>
            <w:shd w:val="clear" w:color="auto" w:fill="BACFA8"/>
            <w:vAlign w:val="bottom"/>
          </w:tcPr>
          <w:p w14:paraId="609AB9EB" w14:textId="107057A7" w:rsidR="00414EBB" w:rsidRPr="00414EBB" w:rsidRDefault="00414EBB" w:rsidP="00075E0F">
            <w:pPr>
              <w:spacing w:before="120" w:after="120"/>
              <w:jc w:val="center"/>
            </w:pPr>
            <w:r w:rsidRPr="00414EBB">
              <w:rPr>
                <w:noProof/>
              </w:rPr>
              <w:drawing>
                <wp:inline distT="0" distB="0" distL="0" distR="0" wp14:anchorId="40DF542B" wp14:editId="7B6625C9">
                  <wp:extent cx="4945075" cy="1137285"/>
                  <wp:effectExtent l="0" t="0" r="8255"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14159"/>
                          <a:stretch/>
                        </pic:blipFill>
                        <pic:spPr bwMode="auto">
                          <a:xfrm>
                            <a:off x="0" y="0"/>
                            <a:ext cx="4945075" cy="1137285"/>
                          </a:xfrm>
                          <a:prstGeom prst="rect">
                            <a:avLst/>
                          </a:prstGeom>
                          <a:ln>
                            <a:noFill/>
                          </a:ln>
                          <a:extLst>
                            <a:ext uri="{53640926-AAD7-44D8-BBD7-CCE9431645EC}">
                              <a14:shadowObscured xmlns:a14="http://schemas.microsoft.com/office/drawing/2010/main"/>
                            </a:ext>
                          </a:extLst>
                        </pic:spPr>
                      </pic:pic>
                    </a:graphicData>
                  </a:graphic>
                </wp:inline>
              </w:drawing>
            </w:r>
          </w:p>
        </w:tc>
      </w:tr>
      <w:tr w:rsidR="00414EBB" w:rsidRPr="00414EBB" w14:paraId="558A8855" w14:textId="77777777" w:rsidTr="00672ACB">
        <w:trPr>
          <w:trHeight w:val="1552"/>
        </w:trPr>
        <w:tc>
          <w:tcPr>
            <w:tcW w:w="738" w:type="dxa"/>
            <w:shd w:val="clear" w:color="auto" w:fill="DAE4CF"/>
            <w:vAlign w:val="center"/>
          </w:tcPr>
          <w:p w14:paraId="3E515B8A" w14:textId="5176116E" w:rsidR="00414EBB" w:rsidRPr="00414EBB" w:rsidRDefault="00414EBB" w:rsidP="00075E0F">
            <w:pPr>
              <w:spacing w:before="120" w:after="120"/>
            </w:pPr>
            <w:r w:rsidRPr="00414EBB">
              <w:t>RD_</w:t>
            </w:r>
            <w:r w:rsidR="00E97D54">
              <w:t>S</w:t>
            </w:r>
          </w:p>
        </w:tc>
        <w:tc>
          <w:tcPr>
            <w:tcW w:w="8329" w:type="dxa"/>
            <w:shd w:val="clear" w:color="auto" w:fill="DAE4CF"/>
            <w:vAlign w:val="bottom"/>
          </w:tcPr>
          <w:p w14:paraId="5231A4C2" w14:textId="64E95D6E" w:rsidR="00414EBB" w:rsidRPr="00414EBB" w:rsidRDefault="00414EBB" w:rsidP="00075E0F">
            <w:pPr>
              <w:spacing w:before="120" w:after="120"/>
              <w:jc w:val="center"/>
            </w:pPr>
            <w:r w:rsidRPr="00414EBB">
              <w:rPr>
                <w:noProof/>
              </w:rPr>
              <w:drawing>
                <wp:inline distT="0" distB="0" distL="0" distR="0" wp14:anchorId="67B23AD3" wp14:editId="31C845E1">
                  <wp:extent cx="4294022" cy="1221740"/>
                  <wp:effectExtent l="0" t="0" r="2540" b="698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25460"/>
                          <a:stretch/>
                        </pic:blipFill>
                        <pic:spPr bwMode="auto">
                          <a:xfrm>
                            <a:off x="0" y="0"/>
                            <a:ext cx="4294022" cy="1221740"/>
                          </a:xfrm>
                          <a:prstGeom prst="rect">
                            <a:avLst/>
                          </a:prstGeom>
                          <a:ln>
                            <a:noFill/>
                          </a:ln>
                          <a:extLst>
                            <a:ext uri="{53640926-AAD7-44D8-BBD7-CCE9431645EC}">
                              <a14:shadowObscured xmlns:a14="http://schemas.microsoft.com/office/drawing/2010/main"/>
                            </a:ext>
                          </a:extLst>
                        </pic:spPr>
                      </pic:pic>
                    </a:graphicData>
                  </a:graphic>
                </wp:inline>
              </w:drawing>
            </w:r>
          </w:p>
        </w:tc>
      </w:tr>
      <w:tr w:rsidR="00414EBB" w:rsidRPr="00414EBB" w14:paraId="25C98AE1" w14:textId="77777777" w:rsidTr="00672ACB">
        <w:trPr>
          <w:trHeight w:val="1648"/>
        </w:trPr>
        <w:tc>
          <w:tcPr>
            <w:tcW w:w="738" w:type="dxa"/>
            <w:shd w:val="clear" w:color="auto" w:fill="BACFA8"/>
            <w:vAlign w:val="center"/>
          </w:tcPr>
          <w:p w14:paraId="3E9D0743" w14:textId="1EF6C10B" w:rsidR="00414EBB" w:rsidRPr="00414EBB" w:rsidRDefault="00414EBB" w:rsidP="00075E0F">
            <w:pPr>
              <w:spacing w:before="120" w:after="120"/>
            </w:pPr>
            <w:r w:rsidRPr="00414EBB">
              <w:t>RD_</w:t>
            </w:r>
            <w:r w:rsidR="00E97D54">
              <w:t>V</w:t>
            </w:r>
          </w:p>
        </w:tc>
        <w:tc>
          <w:tcPr>
            <w:tcW w:w="8329" w:type="dxa"/>
            <w:shd w:val="clear" w:color="auto" w:fill="BACFA8"/>
            <w:vAlign w:val="bottom"/>
          </w:tcPr>
          <w:p w14:paraId="292C5BC6" w14:textId="1240C22B" w:rsidR="00414EBB" w:rsidRPr="00414EBB" w:rsidRDefault="00414EBB" w:rsidP="00075E0F">
            <w:pPr>
              <w:spacing w:before="120" w:after="120"/>
              <w:jc w:val="center"/>
            </w:pPr>
            <w:r w:rsidRPr="00414EBB">
              <w:rPr>
                <w:noProof/>
              </w:rPr>
              <w:drawing>
                <wp:inline distT="0" distB="0" distL="0" distR="0" wp14:anchorId="5965B786" wp14:editId="3457CF6F">
                  <wp:extent cx="4659782" cy="1214120"/>
                  <wp:effectExtent l="0" t="0" r="762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19111"/>
                          <a:stretch/>
                        </pic:blipFill>
                        <pic:spPr bwMode="auto">
                          <a:xfrm>
                            <a:off x="0" y="0"/>
                            <a:ext cx="4659782" cy="1214120"/>
                          </a:xfrm>
                          <a:prstGeom prst="rect">
                            <a:avLst/>
                          </a:prstGeom>
                          <a:ln>
                            <a:noFill/>
                          </a:ln>
                          <a:extLst>
                            <a:ext uri="{53640926-AAD7-44D8-BBD7-CCE9431645EC}">
                              <a14:shadowObscured xmlns:a14="http://schemas.microsoft.com/office/drawing/2010/main"/>
                            </a:ext>
                          </a:extLst>
                        </pic:spPr>
                      </pic:pic>
                    </a:graphicData>
                  </a:graphic>
                </wp:inline>
              </w:drawing>
            </w:r>
          </w:p>
        </w:tc>
      </w:tr>
    </w:tbl>
    <w:p w14:paraId="087E9A77" w14:textId="49A30C8E" w:rsidR="00825FBF" w:rsidRDefault="00207C11" w:rsidP="00680A71">
      <w:pPr>
        <w:spacing w:before="120" w:after="120"/>
        <w:rPr>
          <w:rFonts w:cs="Franklin Got Itc T OT Book"/>
          <w:b/>
          <w:bCs/>
          <w:color w:val="000000"/>
          <w:sz w:val="18"/>
          <w:szCs w:val="18"/>
        </w:rPr>
      </w:pPr>
      <w:r>
        <w:t>Zdroj: [</w:t>
      </w:r>
      <w:r w:rsidR="005B4055">
        <w:t>7</w:t>
      </w:r>
      <w:r>
        <w:t>]</w:t>
      </w:r>
    </w:p>
    <w:p w14:paraId="0942C401" w14:textId="6166097E" w:rsidR="00825FBF" w:rsidRDefault="00825FBF" w:rsidP="00680A71">
      <w:pPr>
        <w:spacing w:before="120" w:after="120"/>
        <w:rPr>
          <w:rFonts w:cs="Franklin Got Itc T OT Book"/>
          <w:b/>
          <w:bCs/>
          <w:color w:val="000000"/>
          <w:sz w:val="18"/>
          <w:szCs w:val="18"/>
        </w:rPr>
      </w:pPr>
    </w:p>
    <w:p w14:paraId="22870A48" w14:textId="31A22806" w:rsidR="00825FBF" w:rsidRDefault="00825FBF" w:rsidP="00680A71">
      <w:pPr>
        <w:spacing w:before="120" w:after="120"/>
        <w:rPr>
          <w:rFonts w:cs="Franklin Got Itc T OT Book"/>
          <w:b/>
          <w:bCs/>
          <w:color w:val="000000"/>
          <w:sz w:val="18"/>
          <w:szCs w:val="18"/>
        </w:rPr>
      </w:pPr>
    </w:p>
    <w:p w14:paraId="34E64D0A" w14:textId="022650D4" w:rsidR="00825FBF" w:rsidRDefault="00825FBF" w:rsidP="00680A71">
      <w:pPr>
        <w:spacing w:before="120" w:after="120"/>
        <w:rPr>
          <w:rFonts w:cs="Franklin Got Itc T OT Book"/>
          <w:b/>
          <w:bCs/>
          <w:color w:val="000000"/>
          <w:sz w:val="18"/>
          <w:szCs w:val="18"/>
        </w:rPr>
      </w:pPr>
    </w:p>
    <w:p w14:paraId="12F7807A" w14:textId="3C088949" w:rsidR="00825FBF" w:rsidRDefault="00825FBF" w:rsidP="00680A71">
      <w:pPr>
        <w:spacing w:before="120" w:after="120"/>
        <w:rPr>
          <w:rFonts w:cs="Franklin Got Itc T OT Book"/>
          <w:b/>
          <w:bCs/>
          <w:color w:val="000000"/>
          <w:sz w:val="18"/>
          <w:szCs w:val="18"/>
        </w:rPr>
      </w:pPr>
    </w:p>
    <w:p w14:paraId="2E879282" w14:textId="220C48AA" w:rsidR="00825FBF" w:rsidRDefault="00825FBF" w:rsidP="00680A71">
      <w:pPr>
        <w:spacing w:before="120" w:after="120"/>
        <w:rPr>
          <w:rFonts w:cs="Franklin Got Itc T OT Book"/>
          <w:b/>
          <w:bCs/>
          <w:color w:val="000000"/>
          <w:sz w:val="18"/>
          <w:szCs w:val="18"/>
        </w:rPr>
      </w:pPr>
    </w:p>
    <w:p w14:paraId="488E82AE" w14:textId="2D973A54" w:rsidR="00391A78" w:rsidRDefault="00391A78" w:rsidP="00C174EE">
      <w:pPr>
        <w:pStyle w:val="Nadpis2"/>
        <w:numPr>
          <w:ilvl w:val="0"/>
          <w:numId w:val="0"/>
        </w:numPr>
      </w:pPr>
      <w:bookmarkStart w:id="9" w:name="_Toc62576768"/>
      <w:r>
        <w:t>3.1 Potreba energie na vykurovanie</w:t>
      </w:r>
      <w:bookmarkEnd w:id="9"/>
    </w:p>
    <w:p w14:paraId="78A4429A" w14:textId="1DD9B3FB" w:rsidR="00C174EE" w:rsidRDefault="00C174EE" w:rsidP="00A6602F">
      <w:pPr>
        <w:jc w:val="both"/>
      </w:pPr>
      <w:r w:rsidRPr="00A6602F">
        <w:t>Pre výpočet potreby energie na vykurovanie sú dôležitým faktorom klimatické podmienky v ktorých sa daná budov</w:t>
      </w:r>
      <w:r w:rsidR="0078713A">
        <w:t>a</w:t>
      </w:r>
      <w:r w:rsidRPr="00A6602F">
        <w:t xml:space="preserve"> nachádza. </w:t>
      </w:r>
      <w:r w:rsidR="00A6602F" w:rsidRPr="00207C11">
        <w:rPr>
          <w:b/>
          <w:bCs/>
        </w:rPr>
        <w:t>Pre účely tejto štúdie bol použitý n</w:t>
      </w:r>
      <w:r w:rsidRPr="00207C11">
        <w:rPr>
          <w:b/>
          <w:bCs/>
        </w:rPr>
        <w:t>ormalizovaný počet dennostupňov štandardného vykurovacieho obdobia pre vnútornú teplotu 20°C</w:t>
      </w:r>
      <w:r w:rsidR="00A6602F" w:rsidRPr="00207C11">
        <w:rPr>
          <w:b/>
          <w:bCs/>
        </w:rPr>
        <w:t>, t.j.</w:t>
      </w:r>
      <w:r w:rsidRPr="00207C11">
        <w:rPr>
          <w:b/>
          <w:bCs/>
        </w:rPr>
        <w:t xml:space="preserve"> 3422 K.deň</w:t>
      </w:r>
      <w:r w:rsidR="00A6602F" w:rsidRPr="00207C11">
        <w:rPr>
          <w:b/>
          <w:bCs/>
        </w:rPr>
        <w:t>.</w:t>
      </w:r>
      <w:r w:rsidR="00A6602F" w:rsidRPr="00A6602F">
        <w:t xml:space="preserve"> Túto hodnotu možno považovať vhodnú pre objektívny výpočet potreby energie na vykurovanie pre celé územie SR.</w:t>
      </w:r>
    </w:p>
    <w:p w14:paraId="119C4F7F" w14:textId="3C1E1451" w:rsidR="00445849" w:rsidRPr="00A6602F" w:rsidRDefault="00445849" w:rsidP="00A6602F">
      <w:pPr>
        <w:jc w:val="both"/>
      </w:pPr>
      <w:r>
        <w:t xml:space="preserve">Pre všetky detailné výpočty a samotný výpočtový model viď. prílohu č. 1 – Výpočtový model. </w:t>
      </w:r>
    </w:p>
    <w:p w14:paraId="693CE70A" w14:textId="2C049360" w:rsidR="00A6602F" w:rsidRPr="00A6602F" w:rsidRDefault="00075E0F" w:rsidP="00A6602F">
      <w:pPr>
        <w:autoSpaceDE w:val="0"/>
        <w:autoSpaceDN w:val="0"/>
        <w:adjustRightInd w:val="0"/>
        <w:spacing w:after="340" w:line="201" w:lineRule="atLeast"/>
        <w:jc w:val="both"/>
        <w:rPr>
          <w:rFonts w:cs="Franklin Got Itc T OT Demi"/>
          <w:color w:val="000000"/>
        </w:rPr>
      </w:pPr>
      <w:r>
        <w:rPr>
          <w:rFonts w:cs="Franklin Got Itc T OT Demi"/>
          <w:color w:val="000000"/>
        </w:rPr>
        <w:t>P</w:t>
      </w:r>
      <w:r w:rsidRPr="00A6602F">
        <w:rPr>
          <w:rFonts w:cs="Franklin Got Itc T OT Demi"/>
          <w:color w:val="000000"/>
        </w:rPr>
        <w:t>otreba energie na vykurovanie</w:t>
      </w:r>
      <w:r w:rsidR="00445849">
        <w:rPr>
          <w:rStyle w:val="Znakapoznpodarou"/>
          <w:rFonts w:cs="Franklin Got Itc T OT Demi"/>
          <w:color w:val="000000"/>
        </w:rPr>
        <w:footnoteReference w:id="2"/>
      </w:r>
      <w:r>
        <w:rPr>
          <w:rFonts w:cs="Franklin Got Itc T OT Demi"/>
          <w:color w:val="000000"/>
        </w:rPr>
        <w:t xml:space="preserve"> pre referenčné rodinné domy je určená podľa metodiky [</w:t>
      </w:r>
      <w:r w:rsidR="005B4055">
        <w:rPr>
          <w:rFonts w:cs="Franklin Got Itc T OT Demi"/>
          <w:color w:val="000000"/>
        </w:rPr>
        <w:t>7</w:t>
      </w:r>
      <w:r>
        <w:rPr>
          <w:rFonts w:cs="Franklin Got Itc T OT Demi"/>
          <w:color w:val="000000"/>
        </w:rPr>
        <w:t>]</w:t>
      </w:r>
      <w:r w:rsidR="00445849">
        <w:rPr>
          <w:rFonts w:cs="Franklin Got Itc T OT Demi"/>
          <w:color w:val="000000"/>
        </w:rPr>
        <w:t>.</w:t>
      </w:r>
      <w:r w:rsidRPr="00A6602F">
        <w:rPr>
          <w:rFonts w:cs="Franklin Got Itc T OT Demi"/>
          <w:color w:val="000000"/>
        </w:rPr>
        <w:t xml:space="preserve"> </w:t>
      </w:r>
      <w:r>
        <w:rPr>
          <w:rFonts w:cs="Franklin Got Itc T OT Demi"/>
          <w:color w:val="000000"/>
        </w:rPr>
        <w:t>Celková p</w:t>
      </w:r>
      <w:r w:rsidR="00A6602F" w:rsidRPr="00A6602F">
        <w:rPr>
          <w:rFonts w:cs="Franklin Got Itc T OT Demi"/>
          <w:color w:val="000000"/>
        </w:rPr>
        <w:t xml:space="preserve">otreba energie na vykurovanie je určená </w:t>
      </w:r>
      <w:r>
        <w:rPr>
          <w:rFonts w:cs="Franklin Got Itc T OT Demi"/>
          <w:color w:val="000000"/>
        </w:rPr>
        <w:t xml:space="preserve">následne podľa </w:t>
      </w:r>
      <w:r w:rsidR="00A6602F" w:rsidRPr="00A6602F">
        <w:rPr>
          <w:rFonts w:cs="Franklin Got Itc T OT Demi"/>
          <w:color w:val="000000"/>
        </w:rPr>
        <w:t>vzorca:</w:t>
      </w:r>
    </w:p>
    <w:p w14:paraId="60785F85" w14:textId="07F712D5" w:rsidR="00A6602F" w:rsidRPr="00A6602F" w:rsidRDefault="00A6602F" w:rsidP="00A6602F">
      <w:pPr>
        <w:autoSpaceDE w:val="0"/>
        <w:autoSpaceDN w:val="0"/>
        <w:adjustRightInd w:val="0"/>
        <w:spacing w:after="0" w:line="201" w:lineRule="atLeast"/>
        <w:jc w:val="both"/>
        <w:rPr>
          <w:rFonts w:ascii="Franklin Got Itc T OT Demi" w:hAnsi="Franklin Got Itc T OT Demi" w:cs="Franklin Got Itc T OT Demi"/>
          <w:color w:val="000000"/>
        </w:rPr>
      </w:pPr>
      <w:r w:rsidRPr="00A6602F">
        <w:rPr>
          <w:rFonts w:ascii="Franklin Got Itc T OT Demi" w:hAnsi="Franklin Got Itc T OT Demi" w:cs="Franklin Got Itc T OT Demi"/>
          <w:b/>
          <w:bCs/>
          <w:color w:val="000000"/>
        </w:rPr>
        <w:t>EH,nd = QH,nd / (</w:t>
      </w:r>
      <w:r w:rsidRPr="00A6602F">
        <w:rPr>
          <w:rFonts w:ascii="Arial" w:hAnsi="Arial" w:cs="Arial"/>
          <w:b/>
          <w:bCs/>
          <w:color w:val="000000"/>
        </w:rPr>
        <w:t>η</w:t>
      </w:r>
      <w:r w:rsidRPr="00A6602F">
        <w:rPr>
          <w:rFonts w:ascii="Franklin Got Itc T OT Demi" w:hAnsi="Franklin Got Itc T OT Demi" w:cs="Franklin Got Itc T OT Demi"/>
          <w:b/>
          <w:bCs/>
          <w:color w:val="000000"/>
        </w:rPr>
        <w:t>H</w:t>
      </w:r>
      <w:r w:rsidRPr="00A6602F">
        <w:rPr>
          <w:rFonts w:ascii="Franklin Got Itc T OT Heavy" w:hAnsi="Franklin Got Itc T OT Heavy" w:cs="Franklin Got Itc T OT Heavy"/>
          <w:b/>
          <w:bCs/>
          <w:color w:val="000000"/>
        </w:rPr>
        <w:t xml:space="preserve">,y </w:t>
      </w:r>
      <w:r w:rsidRPr="00A6602F">
        <w:rPr>
          <w:rFonts w:ascii="Franklin Got Itc T OT Demi" w:hAnsi="Franklin Got Itc T OT Demi" w:cs="Franklin Got Itc T OT Demi"/>
          <w:b/>
          <w:bCs/>
          <w:color w:val="000000"/>
        </w:rPr>
        <w:t xml:space="preserve">/ 100) [kWh] </w:t>
      </w:r>
    </w:p>
    <w:p w14:paraId="04F56469" w14:textId="77777777" w:rsidR="00A6602F" w:rsidRPr="00A6602F" w:rsidRDefault="00A6602F" w:rsidP="00A6602F">
      <w:pPr>
        <w:autoSpaceDE w:val="0"/>
        <w:autoSpaceDN w:val="0"/>
        <w:adjustRightInd w:val="0"/>
        <w:spacing w:before="100" w:after="40" w:line="201" w:lineRule="atLeast"/>
        <w:ind w:left="40"/>
        <w:jc w:val="both"/>
        <w:rPr>
          <w:rFonts w:ascii="Franklin Got Itc T OT Book" w:hAnsi="Franklin Got Itc T OT Book" w:cs="Franklin Got Itc T OT Book"/>
          <w:color w:val="000000"/>
        </w:rPr>
      </w:pPr>
      <w:r w:rsidRPr="00A6602F">
        <w:rPr>
          <w:rFonts w:ascii="Franklin Got Itc T OT Book" w:hAnsi="Franklin Got Itc T OT Book" w:cs="Franklin Got Itc T OT Book"/>
          <w:color w:val="000000"/>
        </w:rPr>
        <w:t>kde:</w:t>
      </w:r>
    </w:p>
    <w:p w14:paraId="5519C39F" w14:textId="30946BF2" w:rsidR="00A6602F" w:rsidRPr="00A6602F" w:rsidRDefault="00A6602F" w:rsidP="00A6602F">
      <w:pPr>
        <w:autoSpaceDE w:val="0"/>
        <w:autoSpaceDN w:val="0"/>
        <w:adjustRightInd w:val="0"/>
        <w:spacing w:after="40" w:line="201" w:lineRule="atLeast"/>
        <w:ind w:left="960" w:hanging="560"/>
        <w:jc w:val="both"/>
        <w:rPr>
          <w:rFonts w:ascii="Franklin Got Itc T OT Book" w:hAnsi="Franklin Got Itc T OT Book" w:cs="Franklin Got Itc T OT Book"/>
          <w:color w:val="000000"/>
        </w:rPr>
      </w:pPr>
      <w:r w:rsidRPr="00A6602F">
        <w:rPr>
          <w:rFonts w:ascii="Franklin Got Itc T OT Book" w:hAnsi="Franklin Got Itc T OT Book" w:cs="Franklin Got Itc T OT Book"/>
          <w:color w:val="000000"/>
        </w:rPr>
        <w:t xml:space="preserve">QH,nd je potreba tepla na vykurovanie [kWh] </w:t>
      </w:r>
    </w:p>
    <w:p w14:paraId="5C9488C5" w14:textId="199551DE" w:rsidR="00A6602F" w:rsidRPr="00A6602F" w:rsidRDefault="00A6602F" w:rsidP="00A6602F">
      <w:pPr>
        <w:ind w:firstLine="400"/>
        <w:jc w:val="both"/>
        <w:rPr>
          <w:rFonts w:ascii="Franklin Got Itc T OT Book" w:hAnsi="Franklin Got Itc T OT Book" w:cs="Franklin Got Itc T OT Book"/>
          <w:color w:val="000000"/>
        </w:rPr>
      </w:pPr>
      <w:r w:rsidRPr="00A6602F">
        <w:rPr>
          <w:rFonts w:ascii="Arial" w:hAnsi="Arial" w:cs="Arial"/>
          <w:color w:val="000000"/>
        </w:rPr>
        <w:t>η</w:t>
      </w:r>
      <w:r w:rsidRPr="00A6602F">
        <w:rPr>
          <w:rFonts w:ascii="Franklin Got Itc T OT Book" w:hAnsi="Franklin Got Itc T OT Book" w:cs="Franklin Got Itc T OT Book"/>
          <w:color w:val="000000"/>
        </w:rPr>
        <w:t>H,y je ročná účinnosť vykurovacieho systému podľa metodiky [</w:t>
      </w:r>
      <w:r w:rsidR="005B4055">
        <w:rPr>
          <w:rFonts w:ascii="Franklin Got Itc T OT Book" w:hAnsi="Franklin Got Itc T OT Book" w:cs="Franklin Got Itc T OT Book"/>
          <w:color w:val="000000"/>
        </w:rPr>
        <w:t>7</w:t>
      </w:r>
      <w:r w:rsidRPr="00A6602F">
        <w:rPr>
          <w:rFonts w:ascii="Franklin Got Itc T OT Book" w:hAnsi="Franklin Got Itc T OT Book" w:cs="Franklin Got Itc T OT Book"/>
          <w:color w:val="000000"/>
        </w:rPr>
        <w:t>]</w:t>
      </w:r>
    </w:p>
    <w:p w14:paraId="2FFBD84B" w14:textId="77777777" w:rsidR="00A6602F" w:rsidRDefault="00A6602F" w:rsidP="00A6602F">
      <w:pPr>
        <w:ind w:firstLine="400"/>
        <w:jc w:val="both"/>
        <w:rPr>
          <w:b/>
          <w:bCs/>
        </w:rPr>
      </w:pPr>
    </w:p>
    <w:p w14:paraId="65C1D3D7" w14:textId="141BBDE7" w:rsidR="00C174EE" w:rsidRPr="00207C11" w:rsidRDefault="00A6602F" w:rsidP="00C174EE">
      <w:pPr>
        <w:rPr>
          <w:rFonts w:cstheme="minorHAnsi"/>
          <w:i/>
          <w:iCs/>
        </w:rPr>
      </w:pPr>
      <w:r w:rsidRPr="00207C11">
        <w:rPr>
          <w:rFonts w:cstheme="minorHAnsi"/>
          <w:i/>
          <w:iCs/>
        </w:rPr>
        <w:t>Tab</w:t>
      </w:r>
      <w:r w:rsidR="00207C11" w:rsidRPr="00207C11">
        <w:rPr>
          <w:rFonts w:cstheme="minorHAnsi"/>
          <w:i/>
          <w:iCs/>
        </w:rPr>
        <w:t xml:space="preserve">. </w:t>
      </w:r>
      <w:r w:rsidR="009D46B3">
        <w:rPr>
          <w:rFonts w:cstheme="minorHAnsi"/>
          <w:i/>
          <w:iCs/>
        </w:rPr>
        <w:t>9</w:t>
      </w:r>
      <w:r w:rsidRPr="00207C11">
        <w:rPr>
          <w:rFonts w:cstheme="minorHAnsi"/>
          <w:i/>
          <w:iCs/>
        </w:rPr>
        <w:t xml:space="preserve">: Celková účinnosť vykurovacieho systému </w:t>
      </w:r>
      <w:r w:rsidR="00075E0F" w:rsidRPr="00207C11">
        <w:rPr>
          <w:rFonts w:cstheme="minorHAnsi"/>
          <w:i/>
          <w:iCs/>
          <w:color w:val="000000"/>
        </w:rPr>
        <w:t>podľa metodiky [</w:t>
      </w:r>
      <w:r w:rsidR="005B4055">
        <w:rPr>
          <w:rFonts w:cstheme="minorHAnsi"/>
          <w:i/>
          <w:iCs/>
          <w:color w:val="000000"/>
        </w:rPr>
        <w:t>7</w:t>
      </w:r>
      <w:r w:rsidR="00075E0F" w:rsidRPr="00207C11">
        <w:rPr>
          <w:rFonts w:cstheme="minorHAnsi"/>
          <w:i/>
          <w:iCs/>
          <w:color w:val="000000"/>
        </w:rPr>
        <w:t>]</w:t>
      </w:r>
    </w:p>
    <w:tbl>
      <w:tblPr>
        <w:tblW w:w="9067" w:type="dxa"/>
        <w:tblCellMar>
          <w:left w:w="70" w:type="dxa"/>
          <w:right w:w="70" w:type="dxa"/>
        </w:tblCellMar>
        <w:tblLook w:val="04A0" w:firstRow="1" w:lastRow="0" w:firstColumn="1" w:lastColumn="0" w:noHBand="0" w:noVBand="1"/>
      </w:tblPr>
      <w:tblGrid>
        <w:gridCol w:w="1129"/>
        <w:gridCol w:w="6521"/>
        <w:gridCol w:w="1417"/>
      </w:tblGrid>
      <w:tr w:rsidR="00A6602F" w:rsidRPr="00A6602F" w14:paraId="3953C61C" w14:textId="77777777" w:rsidTr="00B754B4">
        <w:trPr>
          <w:trHeight w:val="480"/>
        </w:trPr>
        <w:tc>
          <w:tcPr>
            <w:tcW w:w="11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1B7C54F"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Označ.</w:t>
            </w:r>
          </w:p>
        </w:tc>
        <w:tc>
          <w:tcPr>
            <w:tcW w:w="652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2191721"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Typ vykurovania</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7992601"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Účinnosť [%]</w:t>
            </w:r>
          </w:p>
        </w:tc>
      </w:tr>
      <w:tr w:rsidR="00A6602F" w:rsidRPr="00A6602F" w14:paraId="1A5BB74D" w14:textId="77777777" w:rsidTr="00B754B4">
        <w:trPr>
          <w:trHeight w:val="454"/>
        </w:trPr>
        <w:tc>
          <w:tcPr>
            <w:tcW w:w="112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DE40087"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RD_P1</w:t>
            </w:r>
          </w:p>
        </w:tc>
        <w:tc>
          <w:tcPr>
            <w:tcW w:w="6521"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0EF52B83"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kotol na tuhé palivo starší ako 35 rokov</w:t>
            </w:r>
          </w:p>
        </w:tc>
        <w:tc>
          <w:tcPr>
            <w:tcW w:w="1417"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6E930CB7"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62</w:t>
            </w:r>
          </w:p>
        </w:tc>
      </w:tr>
      <w:tr w:rsidR="00A6602F" w:rsidRPr="00A6602F" w14:paraId="69EAB12A" w14:textId="77777777" w:rsidTr="00B754B4">
        <w:trPr>
          <w:trHeight w:val="454"/>
        </w:trPr>
        <w:tc>
          <w:tcPr>
            <w:tcW w:w="1129" w:type="dxa"/>
            <w:tcBorders>
              <w:top w:val="nil"/>
              <w:left w:val="single" w:sz="12" w:space="0" w:color="auto"/>
              <w:bottom w:val="single" w:sz="4" w:space="0" w:color="auto"/>
              <w:right w:val="single" w:sz="12" w:space="0" w:color="auto"/>
            </w:tcBorders>
            <w:shd w:val="clear" w:color="auto" w:fill="auto"/>
            <w:vAlign w:val="center"/>
            <w:hideMark/>
          </w:tcPr>
          <w:p w14:paraId="4B93D153"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RD_P2</w:t>
            </w:r>
          </w:p>
        </w:tc>
        <w:tc>
          <w:tcPr>
            <w:tcW w:w="6521" w:type="dxa"/>
            <w:tcBorders>
              <w:top w:val="nil"/>
              <w:left w:val="single" w:sz="12" w:space="0" w:color="auto"/>
              <w:bottom w:val="single" w:sz="4" w:space="0" w:color="auto"/>
              <w:right w:val="single" w:sz="12" w:space="0" w:color="auto"/>
            </w:tcBorders>
            <w:shd w:val="clear" w:color="auto" w:fill="auto"/>
            <w:vAlign w:val="center"/>
            <w:hideMark/>
          </w:tcPr>
          <w:p w14:paraId="00D23A84"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Plynový kotol starý 30 rokov</w:t>
            </w:r>
          </w:p>
        </w:tc>
        <w:tc>
          <w:tcPr>
            <w:tcW w:w="1417"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14:paraId="1C1B99DF"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71</w:t>
            </w:r>
          </w:p>
        </w:tc>
      </w:tr>
      <w:tr w:rsidR="00A6602F" w:rsidRPr="00A6602F" w14:paraId="11391A20" w14:textId="77777777" w:rsidTr="00B754B4">
        <w:trPr>
          <w:trHeight w:val="454"/>
        </w:trPr>
        <w:tc>
          <w:tcPr>
            <w:tcW w:w="1129" w:type="dxa"/>
            <w:tcBorders>
              <w:top w:val="nil"/>
              <w:left w:val="single" w:sz="12" w:space="0" w:color="auto"/>
              <w:bottom w:val="single" w:sz="12" w:space="0" w:color="auto"/>
              <w:right w:val="single" w:sz="12" w:space="0" w:color="auto"/>
            </w:tcBorders>
            <w:shd w:val="clear" w:color="auto" w:fill="auto"/>
            <w:vAlign w:val="center"/>
            <w:hideMark/>
          </w:tcPr>
          <w:p w14:paraId="6B9B8397"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RD_P3</w:t>
            </w:r>
          </w:p>
        </w:tc>
        <w:tc>
          <w:tcPr>
            <w:tcW w:w="6521" w:type="dxa"/>
            <w:tcBorders>
              <w:top w:val="nil"/>
              <w:left w:val="single" w:sz="12" w:space="0" w:color="auto"/>
              <w:bottom w:val="single" w:sz="12" w:space="0" w:color="auto"/>
              <w:right w:val="single" w:sz="12" w:space="0" w:color="auto"/>
            </w:tcBorders>
            <w:shd w:val="clear" w:color="auto" w:fill="auto"/>
            <w:vAlign w:val="center"/>
            <w:hideMark/>
          </w:tcPr>
          <w:p w14:paraId="48142C98"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Plynový kotol starý 25 rokov</w:t>
            </w:r>
          </w:p>
        </w:tc>
        <w:tc>
          <w:tcPr>
            <w:tcW w:w="1417"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48FF9D0F"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89</w:t>
            </w:r>
          </w:p>
        </w:tc>
      </w:tr>
    </w:tbl>
    <w:p w14:paraId="1D7A5EF6" w14:textId="7A99C29A" w:rsidR="00A6602F" w:rsidRDefault="00A6602F" w:rsidP="00C174EE"/>
    <w:p w14:paraId="08AA624C" w14:textId="101357C5" w:rsidR="00A6602F" w:rsidRPr="00207C11" w:rsidRDefault="00A6602F" w:rsidP="00C174EE">
      <w:pPr>
        <w:rPr>
          <w:i/>
          <w:iCs/>
        </w:rPr>
      </w:pPr>
      <w:r w:rsidRPr="00207C11">
        <w:rPr>
          <w:i/>
          <w:iCs/>
        </w:rPr>
        <w:t>Tab</w:t>
      </w:r>
      <w:r w:rsidR="00445849">
        <w:rPr>
          <w:i/>
          <w:iCs/>
        </w:rPr>
        <w:t xml:space="preserve">. </w:t>
      </w:r>
      <w:r w:rsidR="009D46B3">
        <w:rPr>
          <w:i/>
          <w:iCs/>
        </w:rPr>
        <w:t>10</w:t>
      </w:r>
      <w:r w:rsidRPr="00207C11">
        <w:rPr>
          <w:i/>
          <w:iCs/>
        </w:rPr>
        <w:t>: Potreba energie na vykurovanie (pôvodný stav)</w:t>
      </w:r>
    </w:p>
    <w:tbl>
      <w:tblPr>
        <w:tblW w:w="9067" w:type="dxa"/>
        <w:tblCellMar>
          <w:left w:w="70" w:type="dxa"/>
          <w:right w:w="70" w:type="dxa"/>
        </w:tblCellMar>
        <w:tblLook w:val="04A0" w:firstRow="1" w:lastRow="0" w:firstColumn="1" w:lastColumn="0" w:noHBand="0" w:noVBand="1"/>
      </w:tblPr>
      <w:tblGrid>
        <w:gridCol w:w="730"/>
        <w:gridCol w:w="1392"/>
        <w:gridCol w:w="1417"/>
        <w:gridCol w:w="1353"/>
        <w:gridCol w:w="1482"/>
        <w:gridCol w:w="1418"/>
        <w:gridCol w:w="1275"/>
      </w:tblGrid>
      <w:tr w:rsidR="00A6602F" w:rsidRPr="00A6602F" w14:paraId="7B69179D" w14:textId="77777777" w:rsidTr="00B754B4">
        <w:trPr>
          <w:trHeight w:val="420"/>
        </w:trPr>
        <w:tc>
          <w:tcPr>
            <w:tcW w:w="730" w:type="dxa"/>
            <w:vMerge w:val="restart"/>
            <w:tcBorders>
              <w:top w:val="single" w:sz="12" w:space="0" w:color="auto"/>
              <w:left w:val="single" w:sz="12" w:space="0" w:color="auto"/>
              <w:bottom w:val="single" w:sz="4" w:space="0" w:color="000000"/>
              <w:right w:val="single" w:sz="12" w:space="0" w:color="auto"/>
            </w:tcBorders>
            <w:shd w:val="clear" w:color="auto" w:fill="auto"/>
            <w:noWrap/>
            <w:vAlign w:val="bottom"/>
            <w:hideMark/>
          </w:tcPr>
          <w:p w14:paraId="5FBE402F"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 </w:t>
            </w:r>
          </w:p>
        </w:tc>
        <w:tc>
          <w:tcPr>
            <w:tcW w:w="280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0B12630"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RD_M</w:t>
            </w:r>
          </w:p>
        </w:tc>
        <w:tc>
          <w:tcPr>
            <w:tcW w:w="283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712D47B"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RD_S</w:t>
            </w:r>
          </w:p>
        </w:tc>
        <w:tc>
          <w:tcPr>
            <w:tcW w:w="2693"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86E52BE"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RD_V</w:t>
            </w:r>
          </w:p>
        </w:tc>
      </w:tr>
      <w:tr w:rsidR="00A6602F" w:rsidRPr="00A6602F" w14:paraId="5DEE8D90" w14:textId="77777777" w:rsidTr="00B754B4">
        <w:trPr>
          <w:trHeight w:val="510"/>
        </w:trPr>
        <w:tc>
          <w:tcPr>
            <w:tcW w:w="730" w:type="dxa"/>
            <w:vMerge/>
            <w:tcBorders>
              <w:top w:val="single" w:sz="4" w:space="0" w:color="auto"/>
              <w:left w:val="single" w:sz="12" w:space="0" w:color="auto"/>
              <w:bottom w:val="single" w:sz="12" w:space="0" w:color="auto"/>
              <w:right w:val="single" w:sz="12" w:space="0" w:color="auto"/>
            </w:tcBorders>
            <w:vAlign w:val="center"/>
            <w:hideMark/>
          </w:tcPr>
          <w:p w14:paraId="09BBE503"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p>
        </w:tc>
        <w:tc>
          <w:tcPr>
            <w:tcW w:w="1392" w:type="dxa"/>
            <w:tcBorders>
              <w:top w:val="nil"/>
              <w:left w:val="single" w:sz="12" w:space="0" w:color="auto"/>
              <w:bottom w:val="single" w:sz="12" w:space="0" w:color="auto"/>
              <w:right w:val="single" w:sz="4" w:space="0" w:color="auto"/>
            </w:tcBorders>
            <w:shd w:val="clear" w:color="auto" w:fill="auto"/>
            <w:noWrap/>
            <w:vAlign w:val="center"/>
            <w:hideMark/>
          </w:tcPr>
          <w:p w14:paraId="084D6B0D"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w:t>
            </w:r>
            <w:r w:rsidRPr="00207C11">
              <w:rPr>
                <w:rFonts w:ascii="Calibri" w:eastAsia="Times New Roman" w:hAnsi="Calibri" w:cs="Times New Roman"/>
                <w:color w:val="000000"/>
                <w:sz w:val="20"/>
                <w:szCs w:val="20"/>
                <w:vertAlign w:val="superscript"/>
                <w:lang w:eastAsia="sk-SK"/>
              </w:rPr>
              <w:t>2</w:t>
            </w:r>
            <w:r w:rsidRPr="00207C11">
              <w:rPr>
                <w:rFonts w:ascii="Calibri" w:eastAsia="Times New Roman" w:hAnsi="Calibri" w:cs="Times New Roman"/>
                <w:color w:val="000000"/>
                <w:sz w:val="20"/>
                <w:szCs w:val="20"/>
                <w:lang w:eastAsia="sk-SK"/>
              </w:rPr>
              <w:t>.a)]</w:t>
            </w:r>
          </w:p>
        </w:tc>
        <w:tc>
          <w:tcPr>
            <w:tcW w:w="1417" w:type="dxa"/>
            <w:tcBorders>
              <w:top w:val="nil"/>
              <w:left w:val="nil"/>
              <w:bottom w:val="single" w:sz="12" w:space="0" w:color="auto"/>
              <w:right w:val="single" w:sz="12" w:space="0" w:color="auto"/>
            </w:tcBorders>
            <w:shd w:val="clear" w:color="auto" w:fill="auto"/>
            <w:noWrap/>
            <w:vAlign w:val="center"/>
            <w:hideMark/>
          </w:tcPr>
          <w:p w14:paraId="1D1085BA" w14:textId="7D21475F"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w:t>
            </w:r>
            <w:r w:rsidR="00207C11" w:rsidRPr="00207C11">
              <w:rPr>
                <w:rFonts w:ascii="Calibri" w:eastAsia="Times New Roman" w:hAnsi="Calibri" w:cs="Times New Roman"/>
                <w:color w:val="000000"/>
                <w:sz w:val="20"/>
                <w:szCs w:val="20"/>
                <w:lang w:eastAsia="sk-SK"/>
              </w:rPr>
              <w:t>/a</w:t>
            </w:r>
            <w:r w:rsidRPr="00207C11">
              <w:rPr>
                <w:rFonts w:ascii="Calibri" w:eastAsia="Times New Roman" w:hAnsi="Calibri" w:cs="Times New Roman"/>
                <w:color w:val="000000"/>
                <w:sz w:val="20"/>
                <w:szCs w:val="20"/>
                <w:lang w:eastAsia="sk-SK"/>
              </w:rPr>
              <w:t>]</w:t>
            </w:r>
          </w:p>
        </w:tc>
        <w:tc>
          <w:tcPr>
            <w:tcW w:w="1353" w:type="dxa"/>
            <w:tcBorders>
              <w:top w:val="nil"/>
              <w:left w:val="single" w:sz="12" w:space="0" w:color="auto"/>
              <w:bottom w:val="single" w:sz="12" w:space="0" w:color="auto"/>
              <w:right w:val="single" w:sz="4" w:space="0" w:color="auto"/>
            </w:tcBorders>
            <w:shd w:val="clear" w:color="auto" w:fill="auto"/>
            <w:noWrap/>
            <w:vAlign w:val="center"/>
            <w:hideMark/>
          </w:tcPr>
          <w:p w14:paraId="1DE6E64C"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[kWh/(m2.a)]</w:t>
            </w:r>
          </w:p>
        </w:tc>
        <w:tc>
          <w:tcPr>
            <w:tcW w:w="1482" w:type="dxa"/>
            <w:tcBorders>
              <w:top w:val="nil"/>
              <w:left w:val="nil"/>
              <w:bottom w:val="single" w:sz="12" w:space="0" w:color="auto"/>
              <w:right w:val="single" w:sz="12" w:space="0" w:color="auto"/>
            </w:tcBorders>
            <w:shd w:val="clear" w:color="auto" w:fill="auto"/>
            <w:noWrap/>
            <w:vAlign w:val="center"/>
            <w:hideMark/>
          </w:tcPr>
          <w:p w14:paraId="3E1DAE27" w14:textId="0FB9C24A" w:rsidR="00A6602F" w:rsidRPr="00207C11" w:rsidRDefault="00207C11"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418" w:type="dxa"/>
            <w:tcBorders>
              <w:top w:val="nil"/>
              <w:left w:val="single" w:sz="12" w:space="0" w:color="auto"/>
              <w:bottom w:val="single" w:sz="12" w:space="0" w:color="auto"/>
              <w:right w:val="single" w:sz="4" w:space="0" w:color="auto"/>
            </w:tcBorders>
            <w:shd w:val="clear" w:color="auto" w:fill="auto"/>
            <w:noWrap/>
            <w:vAlign w:val="center"/>
            <w:hideMark/>
          </w:tcPr>
          <w:p w14:paraId="13AEDF05"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[kWh/(m2.a)]</w:t>
            </w:r>
          </w:p>
        </w:tc>
        <w:tc>
          <w:tcPr>
            <w:tcW w:w="1275" w:type="dxa"/>
            <w:tcBorders>
              <w:top w:val="nil"/>
              <w:left w:val="nil"/>
              <w:bottom w:val="single" w:sz="12" w:space="0" w:color="auto"/>
              <w:right w:val="single" w:sz="12" w:space="0" w:color="auto"/>
            </w:tcBorders>
            <w:shd w:val="clear" w:color="auto" w:fill="auto"/>
            <w:noWrap/>
            <w:vAlign w:val="center"/>
            <w:hideMark/>
          </w:tcPr>
          <w:p w14:paraId="36AE75EB" w14:textId="36BFC43B" w:rsidR="00A6602F" w:rsidRPr="00207C11" w:rsidRDefault="00207C11"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r>
      <w:tr w:rsidR="00A6602F" w:rsidRPr="00A6602F" w14:paraId="44B8A0EB" w14:textId="77777777" w:rsidTr="00B754B4">
        <w:trPr>
          <w:trHeight w:val="499"/>
        </w:trPr>
        <w:tc>
          <w:tcPr>
            <w:tcW w:w="73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23B9BB4F"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RD_P1</w:t>
            </w:r>
          </w:p>
        </w:tc>
        <w:tc>
          <w:tcPr>
            <w:tcW w:w="1392" w:type="dxa"/>
            <w:tcBorders>
              <w:top w:val="single" w:sz="12" w:space="0" w:color="auto"/>
              <w:left w:val="single" w:sz="12" w:space="0" w:color="auto"/>
              <w:bottom w:val="single" w:sz="4" w:space="0" w:color="auto"/>
              <w:right w:val="nil"/>
            </w:tcBorders>
            <w:shd w:val="clear" w:color="auto" w:fill="FFFFFF" w:themeFill="background1"/>
            <w:noWrap/>
            <w:vAlign w:val="center"/>
            <w:hideMark/>
          </w:tcPr>
          <w:p w14:paraId="2753920E" w14:textId="77777777" w:rsidR="00A6602F" w:rsidRPr="00207C11" w:rsidRDefault="00A6602F" w:rsidP="00A6602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368,5</w:t>
            </w:r>
          </w:p>
        </w:tc>
        <w:tc>
          <w:tcPr>
            <w:tcW w:w="1417" w:type="dxa"/>
            <w:tcBorders>
              <w:top w:val="single" w:sz="12" w:space="0" w:color="auto"/>
              <w:left w:val="single" w:sz="8" w:space="0" w:color="auto"/>
              <w:bottom w:val="single" w:sz="4" w:space="0" w:color="auto"/>
              <w:right w:val="single" w:sz="12" w:space="0" w:color="auto"/>
            </w:tcBorders>
            <w:shd w:val="clear" w:color="auto" w:fill="FFFFFF" w:themeFill="background1"/>
            <w:noWrap/>
            <w:vAlign w:val="center"/>
            <w:hideMark/>
          </w:tcPr>
          <w:p w14:paraId="4C16DA15"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58841,1</w:t>
            </w:r>
          </w:p>
        </w:tc>
        <w:tc>
          <w:tcPr>
            <w:tcW w:w="1353" w:type="dxa"/>
            <w:tcBorders>
              <w:top w:val="single" w:sz="12" w:space="0" w:color="auto"/>
              <w:left w:val="single" w:sz="12" w:space="0" w:color="auto"/>
              <w:bottom w:val="single" w:sz="4" w:space="0" w:color="auto"/>
              <w:right w:val="nil"/>
            </w:tcBorders>
            <w:shd w:val="clear" w:color="auto" w:fill="FFFFFF" w:themeFill="background1"/>
            <w:noWrap/>
            <w:vAlign w:val="center"/>
            <w:hideMark/>
          </w:tcPr>
          <w:p w14:paraId="23B93DE8"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314,7</w:t>
            </w:r>
          </w:p>
        </w:tc>
        <w:tc>
          <w:tcPr>
            <w:tcW w:w="1482" w:type="dxa"/>
            <w:tcBorders>
              <w:top w:val="single" w:sz="12" w:space="0" w:color="auto"/>
              <w:left w:val="single" w:sz="8" w:space="0" w:color="auto"/>
              <w:bottom w:val="single" w:sz="4" w:space="0" w:color="auto"/>
              <w:right w:val="single" w:sz="12" w:space="0" w:color="auto"/>
            </w:tcBorders>
            <w:shd w:val="clear" w:color="auto" w:fill="FFFFFF" w:themeFill="background1"/>
            <w:noWrap/>
            <w:vAlign w:val="center"/>
            <w:hideMark/>
          </w:tcPr>
          <w:p w14:paraId="1488C4CD"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66899,1</w:t>
            </w:r>
          </w:p>
        </w:tc>
        <w:tc>
          <w:tcPr>
            <w:tcW w:w="1418" w:type="dxa"/>
            <w:tcBorders>
              <w:top w:val="single" w:sz="12" w:space="0" w:color="auto"/>
              <w:left w:val="single" w:sz="12" w:space="0" w:color="auto"/>
              <w:bottom w:val="single" w:sz="4" w:space="0" w:color="auto"/>
              <w:right w:val="nil"/>
            </w:tcBorders>
            <w:shd w:val="clear" w:color="auto" w:fill="FFFFFF" w:themeFill="background1"/>
            <w:noWrap/>
            <w:vAlign w:val="center"/>
            <w:hideMark/>
          </w:tcPr>
          <w:p w14:paraId="5DF2A5F1"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274,4</w:t>
            </w:r>
          </w:p>
        </w:tc>
        <w:tc>
          <w:tcPr>
            <w:tcW w:w="1275" w:type="dxa"/>
            <w:tcBorders>
              <w:top w:val="single" w:sz="12" w:space="0" w:color="auto"/>
              <w:left w:val="single" w:sz="8" w:space="0" w:color="auto"/>
              <w:bottom w:val="single" w:sz="4" w:space="0" w:color="auto"/>
              <w:right w:val="single" w:sz="12" w:space="0" w:color="auto"/>
            </w:tcBorders>
            <w:shd w:val="clear" w:color="auto" w:fill="auto"/>
            <w:noWrap/>
            <w:vAlign w:val="center"/>
            <w:hideMark/>
          </w:tcPr>
          <w:p w14:paraId="40D4F49A"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92499,4</w:t>
            </w:r>
          </w:p>
        </w:tc>
      </w:tr>
      <w:tr w:rsidR="00A6602F" w:rsidRPr="00A6602F" w14:paraId="68B4A1E6" w14:textId="77777777" w:rsidTr="00B754B4">
        <w:trPr>
          <w:trHeight w:val="499"/>
        </w:trPr>
        <w:tc>
          <w:tcPr>
            <w:tcW w:w="730" w:type="dxa"/>
            <w:tcBorders>
              <w:top w:val="nil"/>
              <w:left w:val="single" w:sz="12" w:space="0" w:color="auto"/>
              <w:bottom w:val="single" w:sz="4" w:space="0" w:color="auto"/>
              <w:right w:val="single" w:sz="12" w:space="0" w:color="auto"/>
            </w:tcBorders>
            <w:shd w:val="clear" w:color="auto" w:fill="auto"/>
            <w:vAlign w:val="center"/>
            <w:hideMark/>
          </w:tcPr>
          <w:p w14:paraId="7A024390"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RD_P2</w:t>
            </w:r>
          </w:p>
        </w:tc>
        <w:tc>
          <w:tcPr>
            <w:tcW w:w="1392" w:type="dxa"/>
            <w:tcBorders>
              <w:top w:val="nil"/>
              <w:left w:val="single" w:sz="12" w:space="0" w:color="auto"/>
              <w:bottom w:val="single" w:sz="4" w:space="0" w:color="auto"/>
              <w:right w:val="nil"/>
            </w:tcBorders>
            <w:shd w:val="clear" w:color="auto" w:fill="FFFFFF" w:themeFill="background1"/>
            <w:noWrap/>
            <w:vAlign w:val="center"/>
            <w:hideMark/>
          </w:tcPr>
          <w:p w14:paraId="43E6F69B"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266,9</w:t>
            </w:r>
          </w:p>
        </w:tc>
        <w:tc>
          <w:tcPr>
            <w:tcW w:w="1417" w:type="dxa"/>
            <w:tcBorders>
              <w:top w:val="nil"/>
              <w:left w:val="single" w:sz="8" w:space="0" w:color="auto"/>
              <w:bottom w:val="single" w:sz="4" w:space="0" w:color="auto"/>
              <w:right w:val="single" w:sz="12" w:space="0" w:color="auto"/>
            </w:tcBorders>
            <w:shd w:val="clear" w:color="auto" w:fill="FFFFFF" w:themeFill="background1"/>
            <w:noWrap/>
            <w:vAlign w:val="center"/>
            <w:hideMark/>
          </w:tcPr>
          <w:p w14:paraId="0E8F6590"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37215,6</w:t>
            </w:r>
          </w:p>
        </w:tc>
        <w:tc>
          <w:tcPr>
            <w:tcW w:w="1353" w:type="dxa"/>
            <w:tcBorders>
              <w:top w:val="nil"/>
              <w:left w:val="single" w:sz="12" w:space="0" w:color="auto"/>
              <w:bottom w:val="single" w:sz="4" w:space="0" w:color="auto"/>
              <w:right w:val="nil"/>
            </w:tcBorders>
            <w:shd w:val="clear" w:color="auto" w:fill="FFFFFF" w:themeFill="background1"/>
            <w:noWrap/>
            <w:vAlign w:val="center"/>
            <w:hideMark/>
          </w:tcPr>
          <w:p w14:paraId="2E380334"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227,7</w:t>
            </w:r>
          </w:p>
        </w:tc>
        <w:tc>
          <w:tcPr>
            <w:tcW w:w="1482" w:type="dxa"/>
            <w:tcBorders>
              <w:top w:val="nil"/>
              <w:left w:val="single" w:sz="8" w:space="0" w:color="auto"/>
              <w:bottom w:val="single" w:sz="4" w:space="0" w:color="auto"/>
              <w:right w:val="single" w:sz="12" w:space="0" w:color="auto"/>
            </w:tcBorders>
            <w:shd w:val="clear" w:color="auto" w:fill="FFFFFF" w:themeFill="background1"/>
            <w:noWrap/>
            <w:vAlign w:val="center"/>
            <w:hideMark/>
          </w:tcPr>
          <w:p w14:paraId="35DFBD14"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42268,8</w:t>
            </w:r>
          </w:p>
        </w:tc>
        <w:tc>
          <w:tcPr>
            <w:tcW w:w="1418" w:type="dxa"/>
            <w:tcBorders>
              <w:top w:val="nil"/>
              <w:left w:val="single" w:sz="12" w:space="0" w:color="auto"/>
              <w:bottom w:val="single" w:sz="4" w:space="0" w:color="auto"/>
              <w:right w:val="nil"/>
            </w:tcBorders>
            <w:shd w:val="clear" w:color="auto" w:fill="FFFFFF" w:themeFill="background1"/>
            <w:noWrap/>
            <w:vAlign w:val="center"/>
            <w:hideMark/>
          </w:tcPr>
          <w:p w14:paraId="63658447"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200,1</w:t>
            </w:r>
          </w:p>
        </w:tc>
        <w:tc>
          <w:tcPr>
            <w:tcW w:w="1275" w:type="dxa"/>
            <w:tcBorders>
              <w:top w:val="nil"/>
              <w:left w:val="single" w:sz="8" w:space="0" w:color="auto"/>
              <w:bottom w:val="single" w:sz="4" w:space="0" w:color="auto"/>
              <w:right w:val="single" w:sz="12" w:space="0" w:color="auto"/>
            </w:tcBorders>
            <w:shd w:val="clear" w:color="auto" w:fill="auto"/>
            <w:noWrap/>
            <w:vAlign w:val="center"/>
            <w:hideMark/>
          </w:tcPr>
          <w:p w14:paraId="489073BB"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58902,7</w:t>
            </w:r>
          </w:p>
        </w:tc>
      </w:tr>
      <w:tr w:rsidR="00A6602F" w:rsidRPr="00A6602F" w14:paraId="0036FE80" w14:textId="77777777" w:rsidTr="00B754B4">
        <w:trPr>
          <w:trHeight w:val="499"/>
        </w:trPr>
        <w:tc>
          <w:tcPr>
            <w:tcW w:w="730" w:type="dxa"/>
            <w:tcBorders>
              <w:top w:val="nil"/>
              <w:left w:val="single" w:sz="12" w:space="0" w:color="auto"/>
              <w:bottom w:val="single" w:sz="12" w:space="0" w:color="auto"/>
              <w:right w:val="single" w:sz="12" w:space="0" w:color="auto"/>
            </w:tcBorders>
            <w:shd w:val="clear" w:color="auto" w:fill="auto"/>
            <w:vAlign w:val="center"/>
            <w:hideMark/>
          </w:tcPr>
          <w:p w14:paraId="74B3F401" w14:textId="77777777" w:rsidR="00A6602F" w:rsidRPr="00207C11" w:rsidRDefault="00A6602F" w:rsidP="00A6602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RD_P3</w:t>
            </w:r>
          </w:p>
        </w:tc>
        <w:tc>
          <w:tcPr>
            <w:tcW w:w="1392" w:type="dxa"/>
            <w:tcBorders>
              <w:top w:val="nil"/>
              <w:left w:val="single" w:sz="12" w:space="0" w:color="auto"/>
              <w:bottom w:val="single" w:sz="12" w:space="0" w:color="auto"/>
              <w:right w:val="nil"/>
            </w:tcBorders>
            <w:shd w:val="clear" w:color="auto" w:fill="FFFFFF" w:themeFill="background1"/>
            <w:noWrap/>
            <w:vAlign w:val="center"/>
            <w:hideMark/>
          </w:tcPr>
          <w:p w14:paraId="36A4C971"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203,4</w:t>
            </w:r>
          </w:p>
        </w:tc>
        <w:tc>
          <w:tcPr>
            <w:tcW w:w="1417" w:type="dxa"/>
            <w:tcBorders>
              <w:top w:val="nil"/>
              <w:left w:val="single" w:sz="8" w:space="0" w:color="auto"/>
              <w:bottom w:val="single" w:sz="12" w:space="0" w:color="auto"/>
              <w:right w:val="single" w:sz="12" w:space="0" w:color="auto"/>
            </w:tcBorders>
            <w:shd w:val="clear" w:color="auto" w:fill="FFFFFF" w:themeFill="background1"/>
            <w:noWrap/>
            <w:vAlign w:val="center"/>
            <w:hideMark/>
          </w:tcPr>
          <w:p w14:paraId="6AD0D049"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22625,4</w:t>
            </w:r>
          </w:p>
        </w:tc>
        <w:tc>
          <w:tcPr>
            <w:tcW w:w="1353" w:type="dxa"/>
            <w:tcBorders>
              <w:top w:val="nil"/>
              <w:left w:val="single" w:sz="12" w:space="0" w:color="auto"/>
              <w:bottom w:val="single" w:sz="12" w:space="0" w:color="auto"/>
              <w:right w:val="nil"/>
            </w:tcBorders>
            <w:shd w:val="clear" w:color="auto" w:fill="FFFFFF" w:themeFill="background1"/>
            <w:noWrap/>
            <w:vAlign w:val="center"/>
            <w:hideMark/>
          </w:tcPr>
          <w:p w14:paraId="67D3715C"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188,8</w:t>
            </w:r>
          </w:p>
        </w:tc>
        <w:tc>
          <w:tcPr>
            <w:tcW w:w="1482" w:type="dxa"/>
            <w:tcBorders>
              <w:top w:val="nil"/>
              <w:left w:val="single" w:sz="8" w:space="0" w:color="auto"/>
              <w:bottom w:val="single" w:sz="12" w:space="0" w:color="auto"/>
              <w:right w:val="single" w:sz="12" w:space="0" w:color="auto"/>
            </w:tcBorders>
            <w:shd w:val="clear" w:color="auto" w:fill="FFFFFF" w:themeFill="background1"/>
            <w:noWrap/>
            <w:vAlign w:val="center"/>
            <w:hideMark/>
          </w:tcPr>
          <w:p w14:paraId="35B0C58B"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27959,4</w:t>
            </w:r>
          </w:p>
        </w:tc>
        <w:tc>
          <w:tcPr>
            <w:tcW w:w="1418" w:type="dxa"/>
            <w:tcBorders>
              <w:top w:val="nil"/>
              <w:left w:val="single" w:sz="12" w:space="0" w:color="auto"/>
              <w:bottom w:val="single" w:sz="12" w:space="0" w:color="auto"/>
              <w:right w:val="nil"/>
            </w:tcBorders>
            <w:shd w:val="clear" w:color="auto" w:fill="FFFFFF" w:themeFill="background1"/>
            <w:noWrap/>
            <w:vAlign w:val="center"/>
            <w:hideMark/>
          </w:tcPr>
          <w:p w14:paraId="59972748" w14:textId="77777777" w:rsidR="00A6602F" w:rsidRPr="00207C11" w:rsidRDefault="00A6602F" w:rsidP="00A6602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168,2</w:t>
            </w:r>
          </w:p>
        </w:tc>
        <w:tc>
          <w:tcPr>
            <w:tcW w:w="1275" w:type="dxa"/>
            <w:tcBorders>
              <w:top w:val="nil"/>
              <w:left w:val="single" w:sz="8" w:space="0" w:color="auto"/>
              <w:bottom w:val="single" w:sz="12" w:space="0" w:color="auto"/>
              <w:right w:val="single" w:sz="12" w:space="0" w:color="auto"/>
            </w:tcBorders>
            <w:shd w:val="clear" w:color="auto" w:fill="auto"/>
            <w:noWrap/>
            <w:vAlign w:val="center"/>
            <w:hideMark/>
          </w:tcPr>
          <w:p w14:paraId="16CAE16E" w14:textId="77777777" w:rsidR="00A6602F" w:rsidRPr="00207C11" w:rsidRDefault="00A6602F" w:rsidP="00A6602F">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39498,7</w:t>
            </w:r>
          </w:p>
        </w:tc>
      </w:tr>
    </w:tbl>
    <w:p w14:paraId="5F09907A" w14:textId="0CF88079" w:rsidR="00A6602F" w:rsidRDefault="00A6602F" w:rsidP="00C174EE"/>
    <w:p w14:paraId="346567DE" w14:textId="314E752F" w:rsidR="00A6602F" w:rsidRDefault="00A6602F" w:rsidP="00C174EE"/>
    <w:p w14:paraId="585DAC17" w14:textId="1C9FDBC1" w:rsidR="00A6602F" w:rsidRDefault="00A6602F" w:rsidP="00C174EE"/>
    <w:p w14:paraId="3BBE3615" w14:textId="0B2D9B99" w:rsidR="00A6602F" w:rsidRDefault="00A6602F" w:rsidP="00C174EE"/>
    <w:p w14:paraId="6FB6F97F" w14:textId="77777777" w:rsidR="00A6602F" w:rsidRPr="00C174EE" w:rsidRDefault="00A6602F" w:rsidP="00C174EE"/>
    <w:p w14:paraId="199256CB" w14:textId="72B0BB1E" w:rsidR="00391A78" w:rsidRDefault="00391A78" w:rsidP="00D36BC4">
      <w:pPr>
        <w:pStyle w:val="Nadpis2"/>
        <w:numPr>
          <w:ilvl w:val="1"/>
          <w:numId w:val="22"/>
        </w:numPr>
        <w:ind w:left="357" w:hanging="357"/>
      </w:pPr>
      <w:bookmarkStart w:id="10" w:name="_Toc62576769"/>
      <w:r>
        <w:t>Potreba energie na prípravu TUV</w:t>
      </w:r>
      <w:bookmarkEnd w:id="10"/>
    </w:p>
    <w:p w14:paraId="658E51C0" w14:textId="4BBFE431" w:rsidR="00D36BC4" w:rsidRDefault="00D36BC4" w:rsidP="00D36BC4">
      <w:pPr>
        <w:rPr>
          <w:b/>
          <w:bCs/>
        </w:rPr>
      </w:pPr>
      <w:r w:rsidRPr="00D36BC4">
        <w:t>Potrebu energie na prípravu teplej úžitkovej vody je určená podľa metodiky [</w:t>
      </w:r>
      <w:r w:rsidR="005B4055">
        <w:t>7</w:t>
      </w:r>
      <w:r w:rsidRPr="00D36BC4">
        <w:t xml:space="preserve">] a vypočítaná pre kombináciu referenčných rodinných domov. </w:t>
      </w:r>
    </w:p>
    <w:p w14:paraId="66D0E9B9" w14:textId="0EEC08A9" w:rsidR="00D36BC4" w:rsidRPr="00445849" w:rsidRDefault="00D36BC4" w:rsidP="004E1ED8">
      <w:pPr>
        <w:spacing w:before="120" w:after="120"/>
        <w:rPr>
          <w:b/>
          <w:bCs/>
          <w:i/>
          <w:iCs/>
        </w:rPr>
      </w:pPr>
      <w:r w:rsidRPr="00445849">
        <w:rPr>
          <w:i/>
          <w:iCs/>
        </w:rPr>
        <w:t>Tab</w:t>
      </w:r>
      <w:r w:rsidR="00445849" w:rsidRPr="00445849">
        <w:rPr>
          <w:i/>
          <w:iCs/>
        </w:rPr>
        <w:t>.</w:t>
      </w:r>
      <w:r w:rsidRPr="00445849">
        <w:rPr>
          <w:i/>
          <w:iCs/>
        </w:rPr>
        <w:t xml:space="preserve"> </w:t>
      </w:r>
      <w:r w:rsidR="00445849" w:rsidRPr="00445849">
        <w:rPr>
          <w:i/>
          <w:iCs/>
        </w:rPr>
        <w:t>1</w:t>
      </w:r>
      <w:r w:rsidR="009D46B3">
        <w:rPr>
          <w:i/>
          <w:iCs/>
        </w:rPr>
        <w:t>1</w:t>
      </w:r>
      <w:r w:rsidRPr="00445849">
        <w:rPr>
          <w:i/>
          <w:iCs/>
        </w:rPr>
        <w:t>:</w:t>
      </w:r>
      <w:r w:rsidRPr="00445849">
        <w:rPr>
          <w:b/>
          <w:bCs/>
          <w:i/>
          <w:iCs/>
        </w:rPr>
        <w:t xml:space="preserve"> </w:t>
      </w:r>
      <w:r w:rsidRPr="00445849">
        <w:rPr>
          <w:i/>
          <w:iCs/>
        </w:rPr>
        <w:t>Potreba energie na prípravu TUV (pôvodný stav)</w:t>
      </w:r>
    </w:p>
    <w:tbl>
      <w:tblPr>
        <w:tblW w:w="9062" w:type="dxa"/>
        <w:tblCellMar>
          <w:left w:w="70" w:type="dxa"/>
          <w:right w:w="70" w:type="dxa"/>
        </w:tblCellMar>
        <w:tblLook w:val="04A0" w:firstRow="1" w:lastRow="0" w:firstColumn="1" w:lastColumn="0" w:noHBand="0" w:noVBand="1"/>
      </w:tblPr>
      <w:tblGrid>
        <w:gridCol w:w="1128"/>
        <w:gridCol w:w="1558"/>
        <w:gridCol w:w="1125"/>
        <w:gridCol w:w="1429"/>
        <w:gridCol w:w="1134"/>
        <w:gridCol w:w="1418"/>
        <w:gridCol w:w="1270"/>
      </w:tblGrid>
      <w:tr w:rsidR="00075E0F" w:rsidRPr="00075E0F" w14:paraId="03FB9591" w14:textId="77777777" w:rsidTr="005D1FD2">
        <w:trPr>
          <w:trHeight w:val="510"/>
        </w:trPr>
        <w:tc>
          <w:tcPr>
            <w:tcW w:w="1128" w:type="dxa"/>
            <w:vMerge w:val="restart"/>
            <w:tcBorders>
              <w:top w:val="single" w:sz="12" w:space="0" w:color="auto"/>
              <w:left w:val="single" w:sz="12" w:space="0" w:color="auto"/>
              <w:bottom w:val="single" w:sz="4" w:space="0" w:color="000000"/>
              <w:right w:val="single" w:sz="12" w:space="0" w:color="auto"/>
            </w:tcBorders>
            <w:shd w:val="clear" w:color="auto" w:fill="auto"/>
            <w:noWrap/>
            <w:vAlign w:val="bottom"/>
            <w:hideMark/>
          </w:tcPr>
          <w:p w14:paraId="22AC7661"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 </w:t>
            </w:r>
          </w:p>
        </w:tc>
        <w:tc>
          <w:tcPr>
            <w:tcW w:w="2683" w:type="dxa"/>
            <w:gridSpan w:val="2"/>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D462534"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RD_M</w:t>
            </w:r>
          </w:p>
        </w:tc>
        <w:tc>
          <w:tcPr>
            <w:tcW w:w="2563" w:type="dxa"/>
            <w:gridSpan w:val="2"/>
            <w:tcBorders>
              <w:top w:val="single" w:sz="12" w:space="0" w:color="auto"/>
              <w:left w:val="nil"/>
              <w:bottom w:val="single" w:sz="4" w:space="0" w:color="auto"/>
              <w:right w:val="single" w:sz="4" w:space="0" w:color="auto"/>
            </w:tcBorders>
            <w:shd w:val="clear" w:color="auto" w:fill="auto"/>
            <w:noWrap/>
            <w:vAlign w:val="center"/>
            <w:hideMark/>
          </w:tcPr>
          <w:p w14:paraId="170E1E0D"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RD_S</w:t>
            </w:r>
          </w:p>
        </w:tc>
        <w:tc>
          <w:tcPr>
            <w:tcW w:w="2688" w:type="dxa"/>
            <w:gridSpan w:val="2"/>
            <w:tcBorders>
              <w:top w:val="single" w:sz="12" w:space="0" w:color="auto"/>
              <w:left w:val="nil"/>
              <w:bottom w:val="single" w:sz="4" w:space="0" w:color="auto"/>
              <w:right w:val="single" w:sz="12" w:space="0" w:color="auto"/>
            </w:tcBorders>
            <w:shd w:val="clear" w:color="auto" w:fill="auto"/>
            <w:noWrap/>
            <w:vAlign w:val="center"/>
            <w:hideMark/>
          </w:tcPr>
          <w:p w14:paraId="13A38A41"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RD_V</w:t>
            </w:r>
          </w:p>
        </w:tc>
      </w:tr>
      <w:tr w:rsidR="00D36BC4" w:rsidRPr="00075E0F" w14:paraId="435C0CF5" w14:textId="77777777" w:rsidTr="005D1FD2">
        <w:trPr>
          <w:trHeight w:val="510"/>
        </w:trPr>
        <w:tc>
          <w:tcPr>
            <w:tcW w:w="1128" w:type="dxa"/>
            <w:vMerge/>
            <w:tcBorders>
              <w:top w:val="single" w:sz="4" w:space="0" w:color="auto"/>
              <w:left w:val="single" w:sz="12" w:space="0" w:color="auto"/>
              <w:bottom w:val="single" w:sz="12" w:space="0" w:color="auto"/>
              <w:right w:val="single" w:sz="12" w:space="0" w:color="auto"/>
            </w:tcBorders>
            <w:vAlign w:val="center"/>
            <w:hideMark/>
          </w:tcPr>
          <w:p w14:paraId="65A586C2" w14:textId="77777777" w:rsidR="00075E0F" w:rsidRPr="00207C11" w:rsidRDefault="00075E0F" w:rsidP="00075E0F">
            <w:pPr>
              <w:spacing w:after="0" w:line="240" w:lineRule="auto"/>
              <w:rPr>
                <w:rFonts w:ascii="Calibri" w:eastAsia="Times New Roman" w:hAnsi="Calibri" w:cs="Times New Roman"/>
                <w:color w:val="000000"/>
                <w:sz w:val="20"/>
                <w:szCs w:val="20"/>
                <w:lang w:eastAsia="sk-SK"/>
              </w:rPr>
            </w:pPr>
          </w:p>
        </w:tc>
        <w:tc>
          <w:tcPr>
            <w:tcW w:w="1558" w:type="dxa"/>
            <w:tcBorders>
              <w:top w:val="nil"/>
              <w:left w:val="single" w:sz="12" w:space="0" w:color="auto"/>
              <w:bottom w:val="single" w:sz="12" w:space="0" w:color="auto"/>
              <w:right w:val="single" w:sz="4" w:space="0" w:color="auto"/>
            </w:tcBorders>
            <w:shd w:val="clear" w:color="auto" w:fill="auto"/>
            <w:noWrap/>
            <w:vAlign w:val="center"/>
            <w:hideMark/>
          </w:tcPr>
          <w:p w14:paraId="1A2FAB54"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w:t>
            </w:r>
            <w:r w:rsidRPr="00207C11">
              <w:rPr>
                <w:rFonts w:ascii="Calibri" w:eastAsia="Times New Roman" w:hAnsi="Calibri" w:cs="Times New Roman"/>
                <w:color w:val="000000"/>
                <w:sz w:val="20"/>
                <w:szCs w:val="20"/>
                <w:vertAlign w:val="superscript"/>
                <w:lang w:eastAsia="sk-SK"/>
              </w:rPr>
              <w:t>2</w:t>
            </w:r>
            <w:r w:rsidRPr="00207C11">
              <w:rPr>
                <w:rFonts w:ascii="Calibri" w:eastAsia="Times New Roman" w:hAnsi="Calibri" w:cs="Times New Roman"/>
                <w:color w:val="000000"/>
                <w:sz w:val="20"/>
                <w:szCs w:val="20"/>
                <w:lang w:eastAsia="sk-SK"/>
              </w:rPr>
              <w:t>.a)]</w:t>
            </w:r>
          </w:p>
        </w:tc>
        <w:tc>
          <w:tcPr>
            <w:tcW w:w="1125" w:type="dxa"/>
            <w:tcBorders>
              <w:top w:val="nil"/>
              <w:left w:val="nil"/>
              <w:bottom w:val="single" w:sz="12" w:space="0" w:color="auto"/>
              <w:right w:val="single" w:sz="4" w:space="0" w:color="auto"/>
            </w:tcBorders>
            <w:shd w:val="clear" w:color="auto" w:fill="auto"/>
            <w:noWrap/>
            <w:vAlign w:val="center"/>
            <w:hideMark/>
          </w:tcPr>
          <w:p w14:paraId="31CC69BE" w14:textId="75473440" w:rsidR="00075E0F" w:rsidRPr="00207C11" w:rsidRDefault="00207C11"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429" w:type="dxa"/>
            <w:tcBorders>
              <w:top w:val="nil"/>
              <w:left w:val="nil"/>
              <w:bottom w:val="single" w:sz="12" w:space="0" w:color="auto"/>
              <w:right w:val="single" w:sz="4" w:space="0" w:color="auto"/>
            </w:tcBorders>
            <w:shd w:val="clear" w:color="auto" w:fill="auto"/>
            <w:noWrap/>
            <w:vAlign w:val="center"/>
            <w:hideMark/>
          </w:tcPr>
          <w:p w14:paraId="0A0168A8"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[kWh/(m2.a)]</w:t>
            </w:r>
          </w:p>
        </w:tc>
        <w:tc>
          <w:tcPr>
            <w:tcW w:w="1134" w:type="dxa"/>
            <w:tcBorders>
              <w:top w:val="nil"/>
              <w:left w:val="nil"/>
              <w:bottom w:val="single" w:sz="12" w:space="0" w:color="auto"/>
              <w:right w:val="single" w:sz="4" w:space="0" w:color="auto"/>
            </w:tcBorders>
            <w:shd w:val="clear" w:color="auto" w:fill="auto"/>
            <w:noWrap/>
            <w:vAlign w:val="center"/>
            <w:hideMark/>
          </w:tcPr>
          <w:p w14:paraId="7318A535" w14:textId="53D7C264" w:rsidR="00075E0F" w:rsidRPr="00207C11" w:rsidRDefault="00207C11"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418" w:type="dxa"/>
            <w:tcBorders>
              <w:top w:val="nil"/>
              <w:left w:val="nil"/>
              <w:bottom w:val="single" w:sz="12" w:space="0" w:color="auto"/>
              <w:right w:val="single" w:sz="4" w:space="0" w:color="auto"/>
            </w:tcBorders>
            <w:shd w:val="clear" w:color="auto" w:fill="auto"/>
            <w:noWrap/>
            <w:vAlign w:val="center"/>
            <w:hideMark/>
          </w:tcPr>
          <w:p w14:paraId="1386DA97" w14:textId="77777777" w:rsidR="00075E0F" w:rsidRPr="00207C11" w:rsidRDefault="00075E0F"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[kWh/(m2.a)]</w:t>
            </w:r>
          </w:p>
        </w:tc>
        <w:tc>
          <w:tcPr>
            <w:tcW w:w="1270" w:type="dxa"/>
            <w:tcBorders>
              <w:top w:val="nil"/>
              <w:left w:val="nil"/>
              <w:bottom w:val="single" w:sz="12" w:space="0" w:color="auto"/>
              <w:right w:val="single" w:sz="12" w:space="0" w:color="auto"/>
            </w:tcBorders>
            <w:shd w:val="clear" w:color="auto" w:fill="auto"/>
            <w:noWrap/>
            <w:vAlign w:val="center"/>
            <w:hideMark/>
          </w:tcPr>
          <w:p w14:paraId="377CA1E8" w14:textId="764FC26D" w:rsidR="00075E0F" w:rsidRPr="00207C11" w:rsidRDefault="00207C11" w:rsidP="00075E0F">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r>
      <w:tr w:rsidR="00D36BC4" w:rsidRPr="00075E0F" w14:paraId="3AA3F38A" w14:textId="77777777" w:rsidTr="005D1FD2">
        <w:trPr>
          <w:trHeight w:val="510"/>
        </w:trPr>
        <w:tc>
          <w:tcPr>
            <w:tcW w:w="1128"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3D69FE60" w14:textId="77777777" w:rsidR="00075E0F" w:rsidRPr="00207C11" w:rsidRDefault="00075E0F" w:rsidP="00075E0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RD_P1</w:t>
            </w:r>
          </w:p>
        </w:tc>
        <w:tc>
          <w:tcPr>
            <w:tcW w:w="1558" w:type="dxa"/>
            <w:tcBorders>
              <w:top w:val="single" w:sz="12" w:space="0" w:color="auto"/>
              <w:left w:val="single" w:sz="12" w:space="0" w:color="auto"/>
              <w:bottom w:val="single" w:sz="4" w:space="0" w:color="auto"/>
              <w:right w:val="nil"/>
            </w:tcBorders>
            <w:shd w:val="clear" w:color="auto" w:fill="FFFFFF" w:themeFill="background1"/>
            <w:noWrap/>
            <w:vAlign w:val="center"/>
            <w:hideMark/>
          </w:tcPr>
          <w:p w14:paraId="26508DE1"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60,0</w:t>
            </w:r>
          </w:p>
        </w:tc>
        <w:tc>
          <w:tcPr>
            <w:tcW w:w="1125" w:type="dxa"/>
            <w:tcBorders>
              <w:top w:val="single" w:sz="12" w:space="0" w:color="auto"/>
              <w:left w:val="single" w:sz="8" w:space="0" w:color="auto"/>
              <w:bottom w:val="single" w:sz="4" w:space="0" w:color="auto"/>
              <w:right w:val="single" w:sz="8" w:space="0" w:color="auto"/>
            </w:tcBorders>
            <w:shd w:val="clear" w:color="auto" w:fill="FFFFFF" w:themeFill="background1"/>
            <w:noWrap/>
            <w:vAlign w:val="center"/>
            <w:hideMark/>
          </w:tcPr>
          <w:p w14:paraId="7B5FC4E1"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5940,0</w:t>
            </w:r>
          </w:p>
        </w:tc>
        <w:tc>
          <w:tcPr>
            <w:tcW w:w="1429" w:type="dxa"/>
            <w:tcBorders>
              <w:top w:val="single" w:sz="12" w:space="0" w:color="auto"/>
              <w:left w:val="single" w:sz="4" w:space="0" w:color="auto"/>
              <w:bottom w:val="single" w:sz="4" w:space="0" w:color="auto"/>
              <w:right w:val="nil"/>
            </w:tcBorders>
            <w:shd w:val="clear" w:color="auto" w:fill="FFFFFF" w:themeFill="background1"/>
            <w:noWrap/>
            <w:vAlign w:val="center"/>
            <w:hideMark/>
          </w:tcPr>
          <w:p w14:paraId="2410EB45"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60,0</w:t>
            </w:r>
          </w:p>
        </w:tc>
        <w:tc>
          <w:tcPr>
            <w:tcW w:w="1134" w:type="dxa"/>
            <w:tcBorders>
              <w:top w:val="single" w:sz="12" w:space="0" w:color="auto"/>
              <w:left w:val="single" w:sz="8" w:space="0" w:color="auto"/>
              <w:bottom w:val="single" w:sz="4" w:space="0" w:color="auto"/>
              <w:right w:val="single" w:sz="8" w:space="0" w:color="auto"/>
            </w:tcBorders>
            <w:shd w:val="clear" w:color="auto" w:fill="FFFFFF" w:themeFill="background1"/>
            <w:noWrap/>
            <w:vAlign w:val="center"/>
            <w:hideMark/>
          </w:tcPr>
          <w:p w14:paraId="381E6F8A"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7908,0</w:t>
            </w:r>
          </w:p>
        </w:tc>
        <w:tc>
          <w:tcPr>
            <w:tcW w:w="1418" w:type="dxa"/>
            <w:tcBorders>
              <w:top w:val="single" w:sz="12" w:space="0" w:color="auto"/>
              <w:left w:val="single" w:sz="4" w:space="0" w:color="auto"/>
              <w:bottom w:val="single" w:sz="4" w:space="0" w:color="auto"/>
              <w:right w:val="nil"/>
            </w:tcBorders>
            <w:shd w:val="clear" w:color="auto" w:fill="FFFFFF" w:themeFill="background1"/>
            <w:noWrap/>
            <w:vAlign w:val="center"/>
            <w:hideMark/>
          </w:tcPr>
          <w:p w14:paraId="02A9C0D3"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60,0</w:t>
            </w:r>
          </w:p>
        </w:tc>
        <w:tc>
          <w:tcPr>
            <w:tcW w:w="1270" w:type="dxa"/>
            <w:tcBorders>
              <w:top w:val="single" w:sz="12" w:space="0" w:color="auto"/>
              <w:left w:val="single" w:sz="8" w:space="0" w:color="auto"/>
              <w:bottom w:val="single" w:sz="4" w:space="0" w:color="auto"/>
              <w:right w:val="single" w:sz="12" w:space="0" w:color="auto"/>
            </w:tcBorders>
            <w:shd w:val="clear" w:color="auto" w:fill="FFFFFF" w:themeFill="background1"/>
            <w:noWrap/>
            <w:vAlign w:val="center"/>
            <w:hideMark/>
          </w:tcPr>
          <w:p w14:paraId="45572143"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12540,0</w:t>
            </w:r>
          </w:p>
        </w:tc>
      </w:tr>
      <w:tr w:rsidR="00D36BC4" w:rsidRPr="00075E0F" w14:paraId="44CF5E16" w14:textId="77777777" w:rsidTr="005D1FD2">
        <w:trPr>
          <w:trHeight w:val="510"/>
        </w:trPr>
        <w:tc>
          <w:tcPr>
            <w:tcW w:w="1128" w:type="dxa"/>
            <w:tcBorders>
              <w:top w:val="nil"/>
              <w:left w:val="single" w:sz="12" w:space="0" w:color="auto"/>
              <w:bottom w:val="single" w:sz="4" w:space="0" w:color="auto"/>
              <w:right w:val="single" w:sz="12" w:space="0" w:color="auto"/>
            </w:tcBorders>
            <w:shd w:val="clear" w:color="auto" w:fill="auto"/>
            <w:vAlign w:val="center"/>
            <w:hideMark/>
          </w:tcPr>
          <w:p w14:paraId="3EC2CAB4" w14:textId="77777777" w:rsidR="00075E0F" w:rsidRPr="00207C11" w:rsidRDefault="00075E0F" w:rsidP="00075E0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RD_P2</w:t>
            </w:r>
          </w:p>
        </w:tc>
        <w:tc>
          <w:tcPr>
            <w:tcW w:w="1558" w:type="dxa"/>
            <w:tcBorders>
              <w:top w:val="nil"/>
              <w:left w:val="single" w:sz="12" w:space="0" w:color="auto"/>
              <w:bottom w:val="single" w:sz="4" w:space="0" w:color="auto"/>
              <w:right w:val="nil"/>
            </w:tcBorders>
            <w:shd w:val="clear" w:color="auto" w:fill="FFFFFF" w:themeFill="background1"/>
            <w:noWrap/>
            <w:vAlign w:val="center"/>
            <w:hideMark/>
          </w:tcPr>
          <w:p w14:paraId="51E71F80"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45,0</w:t>
            </w:r>
          </w:p>
        </w:tc>
        <w:tc>
          <w:tcPr>
            <w:tcW w:w="1125"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AB04F9D"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4455,0</w:t>
            </w:r>
          </w:p>
        </w:tc>
        <w:tc>
          <w:tcPr>
            <w:tcW w:w="1429" w:type="dxa"/>
            <w:tcBorders>
              <w:top w:val="nil"/>
              <w:left w:val="single" w:sz="4" w:space="0" w:color="auto"/>
              <w:bottom w:val="single" w:sz="4" w:space="0" w:color="auto"/>
              <w:right w:val="nil"/>
            </w:tcBorders>
            <w:shd w:val="clear" w:color="auto" w:fill="FFFFFF" w:themeFill="background1"/>
            <w:noWrap/>
            <w:vAlign w:val="center"/>
            <w:hideMark/>
          </w:tcPr>
          <w:p w14:paraId="48EAF2E8"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45,0</w:t>
            </w:r>
          </w:p>
        </w:tc>
        <w:tc>
          <w:tcPr>
            <w:tcW w:w="1134"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87582F2"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5931,0</w:t>
            </w:r>
          </w:p>
        </w:tc>
        <w:tc>
          <w:tcPr>
            <w:tcW w:w="1418" w:type="dxa"/>
            <w:tcBorders>
              <w:top w:val="nil"/>
              <w:left w:val="single" w:sz="4" w:space="0" w:color="auto"/>
              <w:bottom w:val="single" w:sz="4" w:space="0" w:color="auto"/>
              <w:right w:val="nil"/>
            </w:tcBorders>
            <w:shd w:val="clear" w:color="auto" w:fill="FFFFFF" w:themeFill="background1"/>
            <w:noWrap/>
            <w:vAlign w:val="center"/>
            <w:hideMark/>
          </w:tcPr>
          <w:p w14:paraId="4F2D87DB"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45,0</w:t>
            </w:r>
          </w:p>
        </w:tc>
        <w:tc>
          <w:tcPr>
            <w:tcW w:w="1270" w:type="dxa"/>
            <w:tcBorders>
              <w:top w:val="nil"/>
              <w:left w:val="single" w:sz="8" w:space="0" w:color="auto"/>
              <w:bottom w:val="single" w:sz="4" w:space="0" w:color="auto"/>
              <w:right w:val="single" w:sz="12" w:space="0" w:color="auto"/>
            </w:tcBorders>
            <w:shd w:val="clear" w:color="auto" w:fill="FFFFFF" w:themeFill="background1"/>
            <w:noWrap/>
            <w:vAlign w:val="center"/>
            <w:hideMark/>
          </w:tcPr>
          <w:p w14:paraId="20C1C5D6"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9405,0</w:t>
            </w:r>
          </w:p>
        </w:tc>
      </w:tr>
      <w:tr w:rsidR="00D36BC4" w:rsidRPr="00075E0F" w14:paraId="64C17E6A" w14:textId="77777777" w:rsidTr="005D1FD2">
        <w:trPr>
          <w:trHeight w:val="510"/>
        </w:trPr>
        <w:tc>
          <w:tcPr>
            <w:tcW w:w="1128" w:type="dxa"/>
            <w:tcBorders>
              <w:top w:val="nil"/>
              <w:left w:val="single" w:sz="12" w:space="0" w:color="auto"/>
              <w:bottom w:val="single" w:sz="12" w:space="0" w:color="auto"/>
              <w:right w:val="single" w:sz="12" w:space="0" w:color="auto"/>
            </w:tcBorders>
            <w:shd w:val="clear" w:color="auto" w:fill="auto"/>
            <w:vAlign w:val="center"/>
            <w:hideMark/>
          </w:tcPr>
          <w:p w14:paraId="6259466F" w14:textId="77777777" w:rsidR="00075E0F" w:rsidRPr="00207C11" w:rsidRDefault="00075E0F" w:rsidP="00075E0F">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RD_P3</w:t>
            </w:r>
          </w:p>
        </w:tc>
        <w:tc>
          <w:tcPr>
            <w:tcW w:w="1558" w:type="dxa"/>
            <w:tcBorders>
              <w:top w:val="nil"/>
              <w:left w:val="single" w:sz="12" w:space="0" w:color="auto"/>
              <w:bottom w:val="single" w:sz="12" w:space="0" w:color="auto"/>
              <w:right w:val="nil"/>
            </w:tcBorders>
            <w:shd w:val="clear" w:color="auto" w:fill="FFFFFF" w:themeFill="background1"/>
            <w:noWrap/>
            <w:vAlign w:val="center"/>
            <w:hideMark/>
          </w:tcPr>
          <w:p w14:paraId="15F0055D"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30,0</w:t>
            </w:r>
          </w:p>
        </w:tc>
        <w:tc>
          <w:tcPr>
            <w:tcW w:w="1125" w:type="dxa"/>
            <w:tcBorders>
              <w:top w:val="nil"/>
              <w:left w:val="single" w:sz="8" w:space="0" w:color="auto"/>
              <w:bottom w:val="single" w:sz="12" w:space="0" w:color="auto"/>
              <w:right w:val="single" w:sz="8" w:space="0" w:color="auto"/>
            </w:tcBorders>
            <w:shd w:val="clear" w:color="auto" w:fill="FFFFFF" w:themeFill="background1"/>
            <w:noWrap/>
            <w:vAlign w:val="center"/>
            <w:hideMark/>
          </w:tcPr>
          <w:p w14:paraId="340A8FFC"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2970,0</w:t>
            </w:r>
          </w:p>
        </w:tc>
        <w:tc>
          <w:tcPr>
            <w:tcW w:w="1429" w:type="dxa"/>
            <w:tcBorders>
              <w:top w:val="nil"/>
              <w:left w:val="single" w:sz="4" w:space="0" w:color="auto"/>
              <w:bottom w:val="single" w:sz="12" w:space="0" w:color="auto"/>
              <w:right w:val="nil"/>
            </w:tcBorders>
            <w:shd w:val="clear" w:color="auto" w:fill="FFFFFF" w:themeFill="background1"/>
            <w:noWrap/>
            <w:vAlign w:val="center"/>
            <w:hideMark/>
          </w:tcPr>
          <w:p w14:paraId="1442902A"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30,0</w:t>
            </w:r>
          </w:p>
        </w:tc>
        <w:tc>
          <w:tcPr>
            <w:tcW w:w="1134" w:type="dxa"/>
            <w:tcBorders>
              <w:top w:val="nil"/>
              <w:left w:val="single" w:sz="8" w:space="0" w:color="auto"/>
              <w:bottom w:val="single" w:sz="12" w:space="0" w:color="auto"/>
              <w:right w:val="single" w:sz="8" w:space="0" w:color="auto"/>
            </w:tcBorders>
            <w:shd w:val="clear" w:color="auto" w:fill="FFFFFF" w:themeFill="background1"/>
            <w:noWrap/>
            <w:vAlign w:val="center"/>
            <w:hideMark/>
          </w:tcPr>
          <w:p w14:paraId="58A15806"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3954,0</w:t>
            </w:r>
          </w:p>
        </w:tc>
        <w:tc>
          <w:tcPr>
            <w:tcW w:w="1418" w:type="dxa"/>
            <w:tcBorders>
              <w:top w:val="nil"/>
              <w:left w:val="single" w:sz="4" w:space="0" w:color="auto"/>
              <w:bottom w:val="single" w:sz="12" w:space="0" w:color="auto"/>
              <w:right w:val="nil"/>
            </w:tcBorders>
            <w:shd w:val="clear" w:color="auto" w:fill="FFFFFF" w:themeFill="background1"/>
            <w:noWrap/>
            <w:vAlign w:val="center"/>
            <w:hideMark/>
          </w:tcPr>
          <w:p w14:paraId="40BAC3EF" w14:textId="77777777" w:rsidR="00075E0F" w:rsidRPr="00207C11" w:rsidRDefault="00075E0F" w:rsidP="00075E0F">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30,0</w:t>
            </w:r>
          </w:p>
        </w:tc>
        <w:tc>
          <w:tcPr>
            <w:tcW w:w="1270" w:type="dxa"/>
            <w:tcBorders>
              <w:top w:val="nil"/>
              <w:left w:val="single" w:sz="8" w:space="0" w:color="auto"/>
              <w:bottom w:val="single" w:sz="12" w:space="0" w:color="auto"/>
              <w:right w:val="single" w:sz="12" w:space="0" w:color="auto"/>
            </w:tcBorders>
            <w:shd w:val="clear" w:color="auto" w:fill="FFFFFF" w:themeFill="background1"/>
            <w:noWrap/>
            <w:vAlign w:val="center"/>
            <w:hideMark/>
          </w:tcPr>
          <w:p w14:paraId="57FB74ED" w14:textId="77777777" w:rsidR="00075E0F" w:rsidRPr="00207C11" w:rsidRDefault="00075E0F" w:rsidP="00075E0F">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6270,0</w:t>
            </w:r>
          </w:p>
        </w:tc>
      </w:tr>
    </w:tbl>
    <w:p w14:paraId="734BB825" w14:textId="2022E0C6" w:rsidR="00682330" w:rsidRDefault="00682330" w:rsidP="004E1ED8">
      <w:pPr>
        <w:spacing w:before="120" w:after="120"/>
        <w:rPr>
          <w:b/>
          <w:bCs/>
        </w:rPr>
      </w:pPr>
    </w:p>
    <w:p w14:paraId="0385B3DC" w14:textId="78CF58DA" w:rsidR="00391A78" w:rsidRDefault="00391A78" w:rsidP="00D36BC4">
      <w:pPr>
        <w:pStyle w:val="Nadpis2"/>
        <w:numPr>
          <w:ilvl w:val="1"/>
          <w:numId w:val="14"/>
        </w:numPr>
        <w:ind w:left="357" w:hanging="357"/>
      </w:pPr>
      <w:bookmarkStart w:id="11" w:name="_Toc62576770"/>
      <w:r>
        <w:t>Emisie CO</w:t>
      </w:r>
      <w:r>
        <w:rPr>
          <w:vertAlign w:val="subscript"/>
        </w:rPr>
        <w:t>2</w:t>
      </w:r>
      <w:bookmarkEnd w:id="11"/>
    </w:p>
    <w:p w14:paraId="76754459" w14:textId="767410CA" w:rsidR="00C009F9" w:rsidRDefault="00D36BC4" w:rsidP="00D36BC4">
      <w:pPr>
        <w:spacing w:before="120" w:after="120" w:line="276" w:lineRule="auto"/>
        <w:jc w:val="both"/>
      </w:pPr>
      <w:r w:rsidRPr="00D36BC4">
        <w:t>Emisie CO</w:t>
      </w:r>
      <w:r w:rsidRPr="00D36BC4">
        <w:rPr>
          <w:vertAlign w:val="subscript"/>
        </w:rPr>
        <w:t xml:space="preserve">2 </w:t>
      </w:r>
      <w:r w:rsidRPr="00D36BC4">
        <w:t xml:space="preserve">sú vypočítané na základe súčtu potreby energie na vykurovanie a prípravu TÚV </w:t>
      </w:r>
      <w:r w:rsidR="005D1FD2">
        <w:t>vynásobené</w:t>
      </w:r>
      <w:r w:rsidRPr="00D36BC4">
        <w:t> prepočtový</w:t>
      </w:r>
      <w:r w:rsidR="005D1FD2">
        <w:t>mi</w:t>
      </w:r>
      <w:r w:rsidRPr="00D36BC4">
        <w:t xml:space="preserve"> faktor</w:t>
      </w:r>
      <w:r w:rsidR="005D1FD2">
        <w:t>mi</w:t>
      </w:r>
      <w:r w:rsidRPr="00D36BC4">
        <w:t xml:space="preserve"> podľa jednotlivých energetických nosičov uvažovaných v danej kategórii referenčného domu. </w:t>
      </w:r>
      <w:r w:rsidR="00C009F9">
        <w:t>Emisné faktory jednotlivých energetických nosičov sú pre výpočet emisií CO</w:t>
      </w:r>
      <w:r w:rsidR="00C009F9" w:rsidRPr="00D36BC4">
        <w:rPr>
          <w:vertAlign w:val="subscript"/>
        </w:rPr>
        <w:t>2</w:t>
      </w:r>
      <w:r w:rsidR="00C009F9">
        <w:t xml:space="preserve"> použité p</w:t>
      </w:r>
      <w:r w:rsidR="00C009F9" w:rsidRPr="00C009F9">
        <w:t xml:space="preserve">odľa </w:t>
      </w:r>
      <w:r w:rsidR="00C009F9">
        <w:t>prílohy č. 2 [</w:t>
      </w:r>
      <w:r w:rsidR="005B4055">
        <w:t>8</w:t>
      </w:r>
      <w:r w:rsidR="00C009F9">
        <w:t xml:space="preserve">] </w:t>
      </w:r>
      <w:r w:rsidR="00C009F9" w:rsidRPr="00C009F9">
        <w:t>vyhlášky Ministerstva dopravy, výstavby a regionálneho rozvoja Slovenskej republiky č. 364/2012 Z. z.</w:t>
      </w:r>
      <w:r w:rsidR="00C009F9">
        <w:t xml:space="preserve">  </w:t>
      </w:r>
      <w:r w:rsidR="00C009F9" w:rsidRPr="00C009F9">
        <w:t>ktorou sa vykonáva zákon č. 555/2005 Z. z. o energetickej hospodárnosti budov</w:t>
      </w:r>
      <w:r w:rsidR="00C009F9">
        <w:t>.</w:t>
      </w:r>
      <w:r w:rsidR="005D1FD2">
        <w:t xml:space="preserve"> </w:t>
      </w:r>
    </w:p>
    <w:p w14:paraId="2D5DE1F5" w14:textId="0F3F05A0" w:rsidR="00C206D9" w:rsidRPr="00445849" w:rsidRDefault="00C206D9" w:rsidP="00C206D9">
      <w:pPr>
        <w:spacing w:before="120" w:after="120"/>
        <w:rPr>
          <w:b/>
          <w:bCs/>
          <w:i/>
          <w:iCs/>
        </w:rPr>
      </w:pPr>
      <w:r w:rsidRPr="00445849">
        <w:rPr>
          <w:i/>
          <w:iCs/>
        </w:rPr>
        <w:t>Tab</w:t>
      </w:r>
      <w:r w:rsidR="00445849" w:rsidRPr="00445849">
        <w:rPr>
          <w:i/>
          <w:iCs/>
        </w:rPr>
        <w:t>.</w:t>
      </w:r>
      <w:r w:rsidRPr="00445849">
        <w:rPr>
          <w:i/>
          <w:iCs/>
        </w:rPr>
        <w:t xml:space="preserve"> </w:t>
      </w:r>
      <w:r w:rsidR="00445849" w:rsidRPr="00445849">
        <w:rPr>
          <w:i/>
          <w:iCs/>
        </w:rPr>
        <w:t>1</w:t>
      </w:r>
      <w:r w:rsidR="009D46B3">
        <w:rPr>
          <w:i/>
          <w:iCs/>
        </w:rPr>
        <w:t>2</w:t>
      </w:r>
      <w:r w:rsidRPr="00445849">
        <w:rPr>
          <w:i/>
          <w:iCs/>
        </w:rPr>
        <w:t>:</w:t>
      </w:r>
      <w:r w:rsidRPr="00445849">
        <w:rPr>
          <w:b/>
          <w:bCs/>
          <w:i/>
          <w:iCs/>
        </w:rPr>
        <w:t xml:space="preserve"> </w:t>
      </w:r>
      <w:r w:rsidRPr="00445849">
        <w:rPr>
          <w:i/>
          <w:iCs/>
        </w:rPr>
        <w:t>Transformačné (prepočitacie) faktory emisií oxidu uhličitého</w:t>
      </w:r>
    </w:p>
    <w:tbl>
      <w:tblPr>
        <w:tblW w:w="8926" w:type="dxa"/>
        <w:tblCellMar>
          <w:left w:w="70" w:type="dxa"/>
          <w:right w:w="70" w:type="dxa"/>
        </w:tblCellMar>
        <w:tblLook w:val="04A0" w:firstRow="1" w:lastRow="0" w:firstColumn="1" w:lastColumn="0" w:noHBand="0" w:noVBand="1"/>
      </w:tblPr>
      <w:tblGrid>
        <w:gridCol w:w="1860"/>
        <w:gridCol w:w="5506"/>
        <w:gridCol w:w="1560"/>
      </w:tblGrid>
      <w:tr w:rsidR="00C206D9" w:rsidRPr="00C206D9" w14:paraId="4A842102" w14:textId="77777777" w:rsidTr="00B754B4">
        <w:trPr>
          <w:trHeight w:val="600"/>
        </w:trPr>
        <w:tc>
          <w:tcPr>
            <w:tcW w:w="18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2CCDB80"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Označ.</w:t>
            </w:r>
          </w:p>
        </w:tc>
        <w:tc>
          <w:tcPr>
            <w:tcW w:w="5506"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180D94B8"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Typ zdroja / energetický nosič</w:t>
            </w:r>
          </w:p>
        </w:tc>
        <w:tc>
          <w:tcPr>
            <w:tcW w:w="1560" w:type="dxa"/>
            <w:tcBorders>
              <w:top w:val="single" w:sz="12" w:space="0" w:color="auto"/>
              <w:left w:val="nil"/>
              <w:bottom w:val="single" w:sz="12" w:space="0" w:color="auto"/>
              <w:right w:val="single" w:sz="12" w:space="0" w:color="auto"/>
            </w:tcBorders>
            <w:shd w:val="clear" w:color="auto" w:fill="auto"/>
            <w:noWrap/>
            <w:vAlign w:val="center"/>
            <w:hideMark/>
          </w:tcPr>
          <w:p w14:paraId="5C0F1ACD"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Faktor emisie CO</w:t>
            </w:r>
            <w:r w:rsidRPr="00207C11">
              <w:rPr>
                <w:rFonts w:ascii="Calibri" w:eastAsia="Times New Roman" w:hAnsi="Calibri" w:cs="Times New Roman"/>
                <w:color w:val="000000"/>
                <w:sz w:val="20"/>
                <w:szCs w:val="20"/>
                <w:vertAlign w:val="subscript"/>
                <w:lang w:eastAsia="sk-SK"/>
              </w:rPr>
              <w:t>2</w:t>
            </w:r>
            <w:r w:rsidRPr="00207C11">
              <w:rPr>
                <w:rFonts w:ascii="Calibri" w:eastAsia="Times New Roman" w:hAnsi="Calibri" w:cs="Times New Roman"/>
                <w:color w:val="000000"/>
                <w:sz w:val="20"/>
                <w:szCs w:val="20"/>
                <w:lang w:eastAsia="sk-SK"/>
              </w:rPr>
              <w:t xml:space="preserve"> </w:t>
            </w:r>
            <w:r w:rsidRPr="00207C11">
              <w:rPr>
                <w:rFonts w:ascii="Calibri" w:eastAsia="Times New Roman" w:hAnsi="Calibri" w:cs="Times New Roman"/>
                <w:i/>
                <w:iCs/>
                <w:color w:val="000000"/>
                <w:sz w:val="20"/>
                <w:szCs w:val="20"/>
                <w:lang w:eastAsia="sk-SK"/>
              </w:rPr>
              <w:t>K</w:t>
            </w:r>
          </w:p>
        </w:tc>
      </w:tr>
      <w:tr w:rsidR="00C206D9" w:rsidRPr="00C206D9" w14:paraId="307A3A56" w14:textId="77777777" w:rsidTr="00B754B4">
        <w:trPr>
          <w:trHeight w:val="397"/>
        </w:trPr>
        <w:tc>
          <w:tcPr>
            <w:tcW w:w="186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49F33134"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RD_P1</w:t>
            </w:r>
          </w:p>
        </w:tc>
        <w:tc>
          <w:tcPr>
            <w:tcW w:w="5506"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11B36BD0"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kotol na tuhé palivo (drevo) starší ako 35 rokov</w:t>
            </w:r>
          </w:p>
        </w:tc>
        <w:tc>
          <w:tcPr>
            <w:tcW w:w="1560"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2B3BCED3"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0,020</w:t>
            </w:r>
          </w:p>
        </w:tc>
      </w:tr>
      <w:tr w:rsidR="00C206D9" w:rsidRPr="00C206D9" w14:paraId="5180C74E" w14:textId="77777777" w:rsidTr="00B754B4">
        <w:trPr>
          <w:trHeight w:val="397"/>
        </w:trPr>
        <w:tc>
          <w:tcPr>
            <w:tcW w:w="1860" w:type="dxa"/>
            <w:tcBorders>
              <w:top w:val="nil"/>
              <w:left w:val="single" w:sz="12" w:space="0" w:color="auto"/>
              <w:bottom w:val="single" w:sz="4" w:space="0" w:color="auto"/>
              <w:right w:val="single" w:sz="12" w:space="0" w:color="auto"/>
            </w:tcBorders>
            <w:shd w:val="clear" w:color="auto" w:fill="auto"/>
            <w:vAlign w:val="center"/>
            <w:hideMark/>
          </w:tcPr>
          <w:p w14:paraId="5C1CCC3C"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RD_P2</w:t>
            </w:r>
          </w:p>
        </w:tc>
        <w:tc>
          <w:tcPr>
            <w:tcW w:w="5506" w:type="dxa"/>
            <w:tcBorders>
              <w:top w:val="nil"/>
              <w:left w:val="single" w:sz="12" w:space="0" w:color="auto"/>
              <w:bottom w:val="single" w:sz="4" w:space="0" w:color="auto"/>
              <w:right w:val="single" w:sz="4" w:space="0" w:color="auto"/>
            </w:tcBorders>
            <w:shd w:val="clear" w:color="auto" w:fill="auto"/>
            <w:vAlign w:val="center"/>
            <w:hideMark/>
          </w:tcPr>
          <w:p w14:paraId="57D3EF37"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Plynový kotol starý 30 rokov</w:t>
            </w:r>
          </w:p>
        </w:tc>
        <w:tc>
          <w:tcPr>
            <w:tcW w:w="1560" w:type="dxa"/>
            <w:tcBorders>
              <w:top w:val="nil"/>
              <w:left w:val="nil"/>
              <w:bottom w:val="single" w:sz="4" w:space="0" w:color="auto"/>
              <w:right w:val="single" w:sz="12" w:space="0" w:color="auto"/>
            </w:tcBorders>
            <w:shd w:val="clear" w:color="auto" w:fill="FFFFFF" w:themeFill="background1"/>
            <w:noWrap/>
            <w:vAlign w:val="center"/>
            <w:hideMark/>
          </w:tcPr>
          <w:p w14:paraId="788CED84"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0,220</w:t>
            </w:r>
          </w:p>
        </w:tc>
      </w:tr>
      <w:tr w:rsidR="00C206D9" w:rsidRPr="00C206D9" w14:paraId="15F99A76" w14:textId="77777777" w:rsidTr="00B754B4">
        <w:trPr>
          <w:trHeight w:val="397"/>
        </w:trPr>
        <w:tc>
          <w:tcPr>
            <w:tcW w:w="1860" w:type="dxa"/>
            <w:tcBorders>
              <w:top w:val="nil"/>
              <w:left w:val="single" w:sz="12" w:space="0" w:color="auto"/>
              <w:bottom w:val="single" w:sz="12" w:space="0" w:color="auto"/>
              <w:right w:val="single" w:sz="12" w:space="0" w:color="auto"/>
            </w:tcBorders>
            <w:shd w:val="clear" w:color="auto" w:fill="auto"/>
            <w:vAlign w:val="center"/>
            <w:hideMark/>
          </w:tcPr>
          <w:p w14:paraId="546AD9F8"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RD_P3</w:t>
            </w:r>
          </w:p>
        </w:tc>
        <w:tc>
          <w:tcPr>
            <w:tcW w:w="5506" w:type="dxa"/>
            <w:tcBorders>
              <w:top w:val="nil"/>
              <w:left w:val="single" w:sz="12" w:space="0" w:color="auto"/>
              <w:bottom w:val="single" w:sz="12" w:space="0" w:color="auto"/>
              <w:right w:val="single" w:sz="4" w:space="0" w:color="auto"/>
            </w:tcBorders>
            <w:shd w:val="clear" w:color="auto" w:fill="auto"/>
            <w:vAlign w:val="center"/>
            <w:hideMark/>
          </w:tcPr>
          <w:p w14:paraId="2238E8BF"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Plynový kotol starý 25 rokov</w:t>
            </w:r>
          </w:p>
        </w:tc>
        <w:tc>
          <w:tcPr>
            <w:tcW w:w="1560" w:type="dxa"/>
            <w:tcBorders>
              <w:top w:val="nil"/>
              <w:left w:val="nil"/>
              <w:bottom w:val="single" w:sz="12" w:space="0" w:color="auto"/>
              <w:right w:val="single" w:sz="12" w:space="0" w:color="auto"/>
            </w:tcBorders>
            <w:shd w:val="clear" w:color="auto" w:fill="FFFFFF" w:themeFill="background1"/>
            <w:noWrap/>
            <w:vAlign w:val="center"/>
            <w:hideMark/>
          </w:tcPr>
          <w:p w14:paraId="7C459F34"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0,220</w:t>
            </w:r>
          </w:p>
        </w:tc>
      </w:tr>
    </w:tbl>
    <w:p w14:paraId="010D7971" w14:textId="05B240E2" w:rsidR="00391A78" w:rsidRDefault="00391A78" w:rsidP="004E1ED8">
      <w:pPr>
        <w:spacing w:before="120" w:after="120"/>
        <w:rPr>
          <w:b/>
          <w:bCs/>
        </w:rPr>
      </w:pPr>
    </w:p>
    <w:p w14:paraId="226FDF84" w14:textId="241CC270" w:rsidR="00C206D9" w:rsidRPr="00445849" w:rsidRDefault="00C206D9" w:rsidP="00C206D9">
      <w:pPr>
        <w:spacing w:before="120" w:after="120"/>
        <w:rPr>
          <w:b/>
          <w:bCs/>
          <w:i/>
          <w:iCs/>
        </w:rPr>
      </w:pPr>
      <w:r w:rsidRPr="00445849">
        <w:rPr>
          <w:i/>
          <w:iCs/>
        </w:rPr>
        <w:t>Tab</w:t>
      </w:r>
      <w:r w:rsidR="00445849" w:rsidRPr="00445849">
        <w:rPr>
          <w:i/>
          <w:iCs/>
        </w:rPr>
        <w:t>. 1</w:t>
      </w:r>
      <w:r w:rsidR="009D46B3">
        <w:rPr>
          <w:i/>
          <w:iCs/>
        </w:rPr>
        <w:t>3</w:t>
      </w:r>
      <w:r w:rsidRPr="00445849">
        <w:rPr>
          <w:i/>
          <w:iCs/>
        </w:rPr>
        <w:t>:</w:t>
      </w:r>
      <w:r w:rsidRPr="00445849">
        <w:rPr>
          <w:b/>
          <w:bCs/>
          <w:i/>
          <w:iCs/>
        </w:rPr>
        <w:t xml:space="preserve"> </w:t>
      </w:r>
      <w:r w:rsidRPr="00445849">
        <w:rPr>
          <w:i/>
          <w:iCs/>
        </w:rPr>
        <w:t>Celková emisie CO</w:t>
      </w:r>
      <w:r w:rsidRPr="00445849">
        <w:rPr>
          <w:i/>
          <w:iCs/>
          <w:vertAlign w:val="subscript"/>
        </w:rPr>
        <w:t>2</w:t>
      </w:r>
      <w:r w:rsidRPr="00445849">
        <w:rPr>
          <w:i/>
          <w:iCs/>
        </w:rPr>
        <w:t xml:space="preserve"> (pôvodný stav)</w:t>
      </w:r>
    </w:p>
    <w:tbl>
      <w:tblPr>
        <w:tblW w:w="8926" w:type="dxa"/>
        <w:tblCellMar>
          <w:left w:w="70" w:type="dxa"/>
          <w:right w:w="70" w:type="dxa"/>
        </w:tblCellMar>
        <w:tblLook w:val="04A0" w:firstRow="1" w:lastRow="0" w:firstColumn="1" w:lastColumn="0" w:noHBand="0" w:noVBand="1"/>
      </w:tblPr>
      <w:tblGrid>
        <w:gridCol w:w="1860"/>
        <w:gridCol w:w="2246"/>
        <w:gridCol w:w="2410"/>
        <w:gridCol w:w="2410"/>
      </w:tblGrid>
      <w:tr w:rsidR="00C206D9" w:rsidRPr="00C206D9" w14:paraId="6DA43881" w14:textId="77777777" w:rsidTr="00B754B4">
        <w:trPr>
          <w:trHeight w:val="402"/>
        </w:trPr>
        <w:tc>
          <w:tcPr>
            <w:tcW w:w="1860" w:type="dxa"/>
            <w:vMerge w:val="restart"/>
            <w:tcBorders>
              <w:top w:val="single" w:sz="12" w:space="0" w:color="auto"/>
              <w:left w:val="single" w:sz="12" w:space="0" w:color="auto"/>
              <w:bottom w:val="single" w:sz="4" w:space="0" w:color="000000"/>
              <w:right w:val="single" w:sz="12" w:space="0" w:color="auto"/>
            </w:tcBorders>
            <w:shd w:val="clear" w:color="auto" w:fill="auto"/>
            <w:noWrap/>
            <w:vAlign w:val="bottom"/>
            <w:hideMark/>
          </w:tcPr>
          <w:p w14:paraId="263EC226"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 </w:t>
            </w:r>
          </w:p>
        </w:tc>
        <w:tc>
          <w:tcPr>
            <w:tcW w:w="224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0AAFD07"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RD_M</w:t>
            </w:r>
          </w:p>
        </w:tc>
        <w:tc>
          <w:tcPr>
            <w:tcW w:w="2410" w:type="dxa"/>
            <w:tcBorders>
              <w:top w:val="single" w:sz="12" w:space="0" w:color="auto"/>
              <w:left w:val="nil"/>
              <w:bottom w:val="single" w:sz="4" w:space="0" w:color="auto"/>
              <w:right w:val="single" w:sz="4" w:space="0" w:color="auto"/>
            </w:tcBorders>
            <w:shd w:val="clear" w:color="auto" w:fill="auto"/>
            <w:noWrap/>
            <w:vAlign w:val="center"/>
            <w:hideMark/>
          </w:tcPr>
          <w:p w14:paraId="4AB9CB7C"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RD_S</w:t>
            </w:r>
          </w:p>
        </w:tc>
        <w:tc>
          <w:tcPr>
            <w:tcW w:w="2410" w:type="dxa"/>
            <w:tcBorders>
              <w:top w:val="single" w:sz="12" w:space="0" w:color="auto"/>
              <w:left w:val="nil"/>
              <w:bottom w:val="single" w:sz="4" w:space="0" w:color="auto"/>
              <w:right w:val="single" w:sz="12" w:space="0" w:color="auto"/>
            </w:tcBorders>
            <w:shd w:val="clear" w:color="auto" w:fill="auto"/>
            <w:noWrap/>
            <w:vAlign w:val="center"/>
            <w:hideMark/>
          </w:tcPr>
          <w:p w14:paraId="54C03AFF" w14:textId="77777777"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RD_V</w:t>
            </w:r>
          </w:p>
        </w:tc>
      </w:tr>
      <w:tr w:rsidR="00C206D9" w:rsidRPr="00C206D9" w14:paraId="75FE4E71" w14:textId="77777777" w:rsidTr="00B754B4">
        <w:trPr>
          <w:trHeight w:val="402"/>
        </w:trPr>
        <w:tc>
          <w:tcPr>
            <w:tcW w:w="1860" w:type="dxa"/>
            <w:vMerge/>
            <w:tcBorders>
              <w:top w:val="single" w:sz="4" w:space="0" w:color="auto"/>
              <w:left w:val="single" w:sz="12" w:space="0" w:color="auto"/>
              <w:bottom w:val="single" w:sz="12" w:space="0" w:color="auto"/>
              <w:right w:val="single" w:sz="12" w:space="0" w:color="auto"/>
            </w:tcBorders>
            <w:vAlign w:val="center"/>
            <w:hideMark/>
          </w:tcPr>
          <w:p w14:paraId="50188DF8"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p>
        </w:tc>
        <w:tc>
          <w:tcPr>
            <w:tcW w:w="2246" w:type="dxa"/>
            <w:tcBorders>
              <w:top w:val="nil"/>
              <w:left w:val="single" w:sz="12" w:space="0" w:color="auto"/>
              <w:bottom w:val="single" w:sz="12" w:space="0" w:color="auto"/>
              <w:right w:val="single" w:sz="4" w:space="0" w:color="auto"/>
            </w:tcBorders>
            <w:shd w:val="clear" w:color="auto" w:fill="auto"/>
            <w:noWrap/>
            <w:vAlign w:val="center"/>
            <w:hideMark/>
          </w:tcPr>
          <w:p w14:paraId="590B4C84" w14:textId="4039952E" w:rsidR="00C206D9" w:rsidRPr="00207C11" w:rsidRDefault="00C206D9"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[kg</w:t>
            </w:r>
            <w:r w:rsidR="00207C11" w:rsidRPr="00207C11">
              <w:rPr>
                <w:rFonts w:ascii="Calibri" w:eastAsia="Times New Roman" w:hAnsi="Calibri" w:cs="Times New Roman"/>
                <w:color w:val="000000"/>
                <w:sz w:val="20"/>
                <w:szCs w:val="20"/>
                <w:lang w:eastAsia="sk-SK"/>
              </w:rPr>
              <w:t>/a</w:t>
            </w:r>
            <w:r w:rsidRPr="00207C11">
              <w:rPr>
                <w:rFonts w:ascii="Calibri" w:eastAsia="Times New Roman" w:hAnsi="Calibri" w:cs="Times New Roman"/>
                <w:color w:val="000000"/>
                <w:sz w:val="20"/>
                <w:szCs w:val="20"/>
                <w:lang w:eastAsia="sk-SK"/>
              </w:rPr>
              <w:t>]</w:t>
            </w:r>
          </w:p>
        </w:tc>
        <w:tc>
          <w:tcPr>
            <w:tcW w:w="2410" w:type="dxa"/>
            <w:tcBorders>
              <w:top w:val="nil"/>
              <w:left w:val="nil"/>
              <w:bottom w:val="single" w:sz="12" w:space="0" w:color="auto"/>
              <w:right w:val="single" w:sz="4" w:space="0" w:color="auto"/>
            </w:tcBorders>
            <w:shd w:val="clear" w:color="auto" w:fill="auto"/>
            <w:noWrap/>
            <w:vAlign w:val="center"/>
            <w:hideMark/>
          </w:tcPr>
          <w:p w14:paraId="21835399" w14:textId="4086DACB" w:rsidR="00C206D9" w:rsidRPr="00207C11" w:rsidRDefault="00207C11"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[kg/a]</w:t>
            </w:r>
          </w:p>
        </w:tc>
        <w:tc>
          <w:tcPr>
            <w:tcW w:w="2410" w:type="dxa"/>
            <w:tcBorders>
              <w:top w:val="nil"/>
              <w:left w:val="nil"/>
              <w:bottom w:val="single" w:sz="12" w:space="0" w:color="auto"/>
              <w:right w:val="single" w:sz="12" w:space="0" w:color="auto"/>
            </w:tcBorders>
            <w:shd w:val="clear" w:color="auto" w:fill="auto"/>
            <w:noWrap/>
            <w:vAlign w:val="center"/>
            <w:hideMark/>
          </w:tcPr>
          <w:p w14:paraId="462AE0C9" w14:textId="44542E05" w:rsidR="00C206D9" w:rsidRPr="00207C11" w:rsidRDefault="00207C11" w:rsidP="00C206D9">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[kg/a]</w:t>
            </w:r>
          </w:p>
        </w:tc>
      </w:tr>
      <w:tr w:rsidR="00C206D9" w:rsidRPr="00C206D9" w14:paraId="586984A0" w14:textId="77777777" w:rsidTr="00B754B4">
        <w:trPr>
          <w:trHeight w:val="402"/>
        </w:trPr>
        <w:tc>
          <w:tcPr>
            <w:tcW w:w="186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38143392"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RD_P1</w:t>
            </w:r>
          </w:p>
        </w:tc>
        <w:tc>
          <w:tcPr>
            <w:tcW w:w="2246"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14:paraId="7A0B3EE1"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1295,6</w:t>
            </w:r>
          </w:p>
        </w:tc>
        <w:tc>
          <w:tcPr>
            <w:tcW w:w="2410" w:type="dxa"/>
            <w:tcBorders>
              <w:top w:val="single" w:sz="12" w:space="0" w:color="auto"/>
              <w:left w:val="nil"/>
              <w:bottom w:val="single" w:sz="4" w:space="0" w:color="auto"/>
              <w:right w:val="single" w:sz="8" w:space="0" w:color="auto"/>
            </w:tcBorders>
            <w:shd w:val="clear" w:color="auto" w:fill="auto"/>
            <w:noWrap/>
            <w:vAlign w:val="center"/>
            <w:hideMark/>
          </w:tcPr>
          <w:p w14:paraId="1C782B96"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1496,1</w:t>
            </w:r>
          </w:p>
        </w:tc>
        <w:tc>
          <w:tcPr>
            <w:tcW w:w="2410" w:type="dxa"/>
            <w:tcBorders>
              <w:top w:val="single" w:sz="12" w:space="0" w:color="auto"/>
              <w:left w:val="nil"/>
              <w:bottom w:val="single" w:sz="4" w:space="0" w:color="auto"/>
              <w:right w:val="single" w:sz="12" w:space="0" w:color="auto"/>
            </w:tcBorders>
            <w:shd w:val="clear" w:color="auto" w:fill="auto"/>
            <w:noWrap/>
            <w:vAlign w:val="center"/>
            <w:hideMark/>
          </w:tcPr>
          <w:p w14:paraId="492CD80F"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2100,8</w:t>
            </w:r>
          </w:p>
        </w:tc>
      </w:tr>
      <w:tr w:rsidR="00C206D9" w:rsidRPr="00C206D9" w14:paraId="7C93A352" w14:textId="77777777" w:rsidTr="00B754B4">
        <w:trPr>
          <w:trHeight w:val="402"/>
        </w:trPr>
        <w:tc>
          <w:tcPr>
            <w:tcW w:w="1860" w:type="dxa"/>
            <w:tcBorders>
              <w:top w:val="nil"/>
              <w:left w:val="single" w:sz="12" w:space="0" w:color="auto"/>
              <w:bottom w:val="single" w:sz="4" w:space="0" w:color="auto"/>
              <w:right w:val="single" w:sz="12" w:space="0" w:color="auto"/>
            </w:tcBorders>
            <w:shd w:val="clear" w:color="auto" w:fill="auto"/>
            <w:vAlign w:val="center"/>
            <w:hideMark/>
          </w:tcPr>
          <w:p w14:paraId="6311CB69"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RD_P2</w:t>
            </w:r>
          </w:p>
        </w:tc>
        <w:tc>
          <w:tcPr>
            <w:tcW w:w="2246" w:type="dxa"/>
            <w:tcBorders>
              <w:top w:val="nil"/>
              <w:left w:val="single" w:sz="12" w:space="0" w:color="auto"/>
              <w:bottom w:val="single" w:sz="4" w:space="0" w:color="auto"/>
              <w:right w:val="single" w:sz="8" w:space="0" w:color="auto"/>
            </w:tcBorders>
            <w:shd w:val="clear" w:color="auto" w:fill="auto"/>
            <w:noWrap/>
            <w:vAlign w:val="center"/>
            <w:hideMark/>
          </w:tcPr>
          <w:p w14:paraId="3CB55A74"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9167,5</w:t>
            </w:r>
          </w:p>
        </w:tc>
        <w:tc>
          <w:tcPr>
            <w:tcW w:w="2410" w:type="dxa"/>
            <w:tcBorders>
              <w:top w:val="nil"/>
              <w:left w:val="nil"/>
              <w:bottom w:val="single" w:sz="4" w:space="0" w:color="auto"/>
              <w:right w:val="single" w:sz="8" w:space="0" w:color="auto"/>
            </w:tcBorders>
            <w:shd w:val="clear" w:color="auto" w:fill="auto"/>
            <w:noWrap/>
            <w:vAlign w:val="center"/>
            <w:hideMark/>
          </w:tcPr>
          <w:p w14:paraId="145BEFC8"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10604,0</w:t>
            </w:r>
          </w:p>
        </w:tc>
        <w:tc>
          <w:tcPr>
            <w:tcW w:w="2410" w:type="dxa"/>
            <w:tcBorders>
              <w:top w:val="nil"/>
              <w:left w:val="nil"/>
              <w:bottom w:val="single" w:sz="4" w:space="0" w:color="auto"/>
              <w:right w:val="single" w:sz="12" w:space="0" w:color="auto"/>
            </w:tcBorders>
            <w:shd w:val="clear" w:color="auto" w:fill="auto"/>
            <w:noWrap/>
            <w:vAlign w:val="center"/>
            <w:hideMark/>
          </w:tcPr>
          <w:p w14:paraId="260A84C1"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15027,7</w:t>
            </w:r>
          </w:p>
        </w:tc>
      </w:tr>
      <w:tr w:rsidR="00C206D9" w:rsidRPr="00C206D9" w14:paraId="1DE35E3A" w14:textId="77777777" w:rsidTr="00B754B4">
        <w:trPr>
          <w:trHeight w:val="402"/>
        </w:trPr>
        <w:tc>
          <w:tcPr>
            <w:tcW w:w="1860" w:type="dxa"/>
            <w:tcBorders>
              <w:top w:val="nil"/>
              <w:left w:val="single" w:sz="12" w:space="0" w:color="auto"/>
              <w:bottom w:val="single" w:sz="12" w:space="0" w:color="auto"/>
              <w:right w:val="single" w:sz="12" w:space="0" w:color="auto"/>
            </w:tcBorders>
            <w:shd w:val="clear" w:color="auto" w:fill="auto"/>
            <w:vAlign w:val="center"/>
            <w:hideMark/>
          </w:tcPr>
          <w:p w14:paraId="46ED7E5E" w14:textId="77777777" w:rsidR="00C206D9" w:rsidRPr="00207C11" w:rsidRDefault="00C206D9" w:rsidP="00C206D9">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RD_P3</w:t>
            </w:r>
          </w:p>
        </w:tc>
        <w:tc>
          <w:tcPr>
            <w:tcW w:w="2246" w:type="dxa"/>
            <w:tcBorders>
              <w:top w:val="nil"/>
              <w:left w:val="single" w:sz="12" w:space="0" w:color="auto"/>
              <w:bottom w:val="single" w:sz="12" w:space="0" w:color="auto"/>
              <w:right w:val="single" w:sz="8" w:space="0" w:color="auto"/>
            </w:tcBorders>
            <w:shd w:val="clear" w:color="auto" w:fill="auto"/>
            <w:noWrap/>
            <w:vAlign w:val="center"/>
            <w:hideMark/>
          </w:tcPr>
          <w:p w14:paraId="2015C679"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5631,0</w:t>
            </w:r>
          </w:p>
        </w:tc>
        <w:tc>
          <w:tcPr>
            <w:tcW w:w="2410" w:type="dxa"/>
            <w:tcBorders>
              <w:top w:val="nil"/>
              <w:left w:val="nil"/>
              <w:bottom w:val="single" w:sz="12" w:space="0" w:color="auto"/>
              <w:right w:val="single" w:sz="8" w:space="0" w:color="auto"/>
            </w:tcBorders>
            <w:shd w:val="clear" w:color="auto" w:fill="auto"/>
            <w:noWrap/>
            <w:vAlign w:val="center"/>
            <w:hideMark/>
          </w:tcPr>
          <w:p w14:paraId="7E6BE020"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7020,9</w:t>
            </w:r>
          </w:p>
        </w:tc>
        <w:tc>
          <w:tcPr>
            <w:tcW w:w="2410" w:type="dxa"/>
            <w:tcBorders>
              <w:top w:val="nil"/>
              <w:left w:val="nil"/>
              <w:bottom w:val="single" w:sz="12" w:space="0" w:color="auto"/>
              <w:right w:val="single" w:sz="12" w:space="0" w:color="auto"/>
            </w:tcBorders>
            <w:shd w:val="clear" w:color="auto" w:fill="auto"/>
            <w:noWrap/>
            <w:vAlign w:val="center"/>
            <w:hideMark/>
          </w:tcPr>
          <w:p w14:paraId="0B823978" w14:textId="77777777" w:rsidR="00C206D9" w:rsidRPr="00207C11" w:rsidRDefault="00C206D9" w:rsidP="00C206D9">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10069,1</w:t>
            </w:r>
          </w:p>
        </w:tc>
      </w:tr>
    </w:tbl>
    <w:p w14:paraId="687DC058" w14:textId="3B48D041" w:rsidR="00391A78" w:rsidRDefault="00391A78" w:rsidP="004E1ED8">
      <w:pPr>
        <w:spacing w:before="120" w:after="120"/>
        <w:rPr>
          <w:b/>
          <w:bCs/>
        </w:rPr>
      </w:pPr>
    </w:p>
    <w:p w14:paraId="736A10BF" w14:textId="77777777" w:rsidR="00391A78" w:rsidRDefault="00391A78" w:rsidP="004E1ED8">
      <w:pPr>
        <w:spacing w:before="120" w:after="120"/>
        <w:rPr>
          <w:b/>
          <w:bCs/>
        </w:rPr>
      </w:pPr>
    </w:p>
    <w:p w14:paraId="4B646A73" w14:textId="77777777" w:rsidR="00680A71" w:rsidRDefault="00680A71" w:rsidP="004E1ED8">
      <w:pPr>
        <w:spacing w:before="120" w:after="120"/>
        <w:rPr>
          <w:b/>
          <w:bCs/>
        </w:rPr>
      </w:pPr>
    </w:p>
    <w:p w14:paraId="5E233950" w14:textId="0AE4E4C1" w:rsidR="00953F2F" w:rsidRPr="004E1ED8" w:rsidRDefault="00953F2F" w:rsidP="004E1ED8">
      <w:pPr>
        <w:pStyle w:val="Nadpis1"/>
      </w:pPr>
      <w:bookmarkStart w:id="12" w:name="_Toc62576771"/>
      <w:r w:rsidRPr="004E1ED8">
        <w:t>Definovanie troch úrovní obnovy</w:t>
      </w:r>
      <w:r w:rsidR="00B22220">
        <w:rPr>
          <w:rStyle w:val="Znakapoznpodarou"/>
        </w:rPr>
        <w:footnoteReference w:id="3"/>
      </w:r>
      <w:bookmarkEnd w:id="12"/>
      <w:r w:rsidRPr="004E1ED8">
        <w:t xml:space="preserve"> </w:t>
      </w:r>
    </w:p>
    <w:p w14:paraId="71958FB2" w14:textId="43B79BDC" w:rsidR="00254997" w:rsidRDefault="00587D48" w:rsidP="004E1ED8">
      <w:pPr>
        <w:spacing w:before="120" w:after="120"/>
      </w:pPr>
      <w:r>
        <w:t xml:space="preserve">Pre účely tejto štúdie je uvažované výlučne s obnovou, ktorá zahŕňa obnovu tepelnej obálky budovy (TOB) spolu s výmenou zdroja energie pre vykurovanie a prípravu TÚV. </w:t>
      </w:r>
    </w:p>
    <w:p w14:paraId="4C2B625A" w14:textId="6361BB05" w:rsidR="00587D48" w:rsidRPr="00587D48" w:rsidRDefault="00587D48" w:rsidP="00587D48">
      <w:pPr>
        <w:spacing w:after="120" w:line="276" w:lineRule="auto"/>
        <w:jc w:val="both"/>
        <w:rPr>
          <w:rFonts w:cstheme="minorHAnsi"/>
          <w:color w:val="222222"/>
          <w:highlight w:val="yellow"/>
          <w:lang w:eastAsia="sk-SK"/>
        </w:rPr>
      </w:pPr>
      <w:r w:rsidRPr="00587D48">
        <w:t>Cielená úroveň TOB</w:t>
      </w:r>
      <w:r w:rsidR="00A809B0" w:rsidRPr="00587D48">
        <w:t xml:space="preserve"> pre</w:t>
      </w:r>
      <w:r w:rsidRPr="00587D48">
        <w:t xml:space="preserve"> typ úrovne</w:t>
      </w:r>
      <w:r w:rsidR="00A809B0" w:rsidRPr="00587D48">
        <w:t xml:space="preserve"> O1 a O2 je uvažované </w:t>
      </w:r>
      <w:r w:rsidRPr="00587D48">
        <w:t>ako povinná</w:t>
      </w:r>
      <w:r w:rsidR="00A809B0" w:rsidRPr="00587D48">
        <w:t xml:space="preserve"> úroveň od 1.1.2021, TOB pre O3 je</w:t>
      </w:r>
      <w:r w:rsidRPr="00587D48">
        <w:t xml:space="preserve"> uvažovaná ako úroveň</w:t>
      </w:r>
      <w:r w:rsidR="00A809B0" w:rsidRPr="00587D48">
        <w:t xml:space="preserve"> odporúčaná</w:t>
      </w:r>
      <w:r w:rsidRPr="00587D48">
        <w:t xml:space="preserve"> </w:t>
      </w:r>
      <w:r w:rsidRPr="00587D48">
        <w:rPr>
          <w:rFonts w:cs="Franklin Got Itc T OT Book"/>
          <w:color w:val="000000"/>
        </w:rPr>
        <w:t>podľa STN 73 0540-2: 2012/Z1-2016 + Z2:2019. V rámci navrhovaných nových zdrojov energie je uvažované s novým kotlom na drevené peletky (úroveň O1) a pre úroveň O2 a O3 je uvažované s tepelným čerpadlom vzduch-voda.</w:t>
      </w:r>
    </w:p>
    <w:p w14:paraId="2102D1D4" w14:textId="2B1622E0" w:rsidR="00C174EE" w:rsidRPr="00445849" w:rsidRDefault="00C174EE" w:rsidP="00C174EE">
      <w:pPr>
        <w:spacing w:before="120" w:after="120"/>
        <w:rPr>
          <w:i/>
          <w:iCs/>
        </w:rPr>
      </w:pPr>
      <w:r w:rsidRPr="00445849">
        <w:rPr>
          <w:i/>
          <w:iCs/>
        </w:rPr>
        <w:t>Tab</w:t>
      </w:r>
      <w:r w:rsidR="00445849" w:rsidRPr="00445849">
        <w:rPr>
          <w:i/>
          <w:iCs/>
        </w:rPr>
        <w:t>.</w:t>
      </w:r>
      <w:r w:rsidRPr="00445849">
        <w:rPr>
          <w:i/>
          <w:iCs/>
        </w:rPr>
        <w:t xml:space="preserve"> </w:t>
      </w:r>
      <w:r w:rsidR="00445849" w:rsidRPr="00445849">
        <w:rPr>
          <w:i/>
          <w:iCs/>
        </w:rPr>
        <w:t>1</w:t>
      </w:r>
      <w:r w:rsidR="009D46B3">
        <w:rPr>
          <w:i/>
          <w:iCs/>
        </w:rPr>
        <w:t>4</w:t>
      </w:r>
      <w:r w:rsidR="00445849" w:rsidRPr="00445849">
        <w:rPr>
          <w:i/>
          <w:iCs/>
        </w:rPr>
        <w:t>:</w:t>
      </w:r>
      <w:r w:rsidRPr="00445849">
        <w:rPr>
          <w:i/>
          <w:iCs/>
        </w:rPr>
        <w:t xml:space="preserve"> TOB a zdroj energie</w:t>
      </w:r>
      <w:r w:rsidR="00587D48" w:rsidRPr="00445849">
        <w:rPr>
          <w:i/>
          <w:iCs/>
        </w:rPr>
        <w:t xml:space="preserve"> úrovní po obnove</w:t>
      </w:r>
    </w:p>
    <w:tbl>
      <w:tblPr>
        <w:tblStyle w:val="Mkatabulky"/>
        <w:tblW w:w="9057" w:type="dxa"/>
        <w:tblLook w:val="04A0" w:firstRow="1" w:lastRow="0" w:firstColumn="1" w:lastColumn="0" w:noHBand="0" w:noVBand="1"/>
      </w:tblPr>
      <w:tblGrid>
        <w:gridCol w:w="813"/>
        <w:gridCol w:w="1866"/>
        <w:gridCol w:w="1417"/>
        <w:gridCol w:w="1418"/>
        <w:gridCol w:w="1701"/>
        <w:gridCol w:w="1842"/>
      </w:tblGrid>
      <w:tr w:rsidR="00A809B0" w14:paraId="201C17AC" w14:textId="77777777" w:rsidTr="00A809B0">
        <w:tc>
          <w:tcPr>
            <w:tcW w:w="813" w:type="dxa"/>
            <w:tcBorders>
              <w:top w:val="single" w:sz="12" w:space="0" w:color="auto"/>
              <w:left w:val="single" w:sz="12" w:space="0" w:color="auto"/>
              <w:bottom w:val="single" w:sz="12" w:space="0" w:color="auto"/>
              <w:right w:val="single" w:sz="12" w:space="0" w:color="auto"/>
            </w:tcBorders>
            <w:vAlign w:val="center"/>
          </w:tcPr>
          <w:p w14:paraId="04386E56" w14:textId="77777777" w:rsidR="00A809B0" w:rsidRPr="00207C11" w:rsidRDefault="00A809B0" w:rsidP="00075E0F">
            <w:pPr>
              <w:spacing w:before="120" w:after="120"/>
              <w:jc w:val="center"/>
              <w:rPr>
                <w:b/>
                <w:bCs/>
              </w:rPr>
            </w:pPr>
            <w:r w:rsidRPr="00207C11">
              <w:rPr>
                <w:b/>
                <w:bCs/>
              </w:rPr>
              <w:t>Ozn.*</w:t>
            </w:r>
          </w:p>
        </w:tc>
        <w:tc>
          <w:tcPr>
            <w:tcW w:w="1866" w:type="dxa"/>
            <w:tcBorders>
              <w:top w:val="single" w:sz="12" w:space="0" w:color="auto"/>
              <w:bottom w:val="single" w:sz="12" w:space="0" w:color="auto"/>
            </w:tcBorders>
            <w:vAlign w:val="center"/>
          </w:tcPr>
          <w:p w14:paraId="4C8111E7" w14:textId="77777777" w:rsidR="00A809B0" w:rsidRPr="00207C11" w:rsidRDefault="00A809B0" w:rsidP="00075E0F">
            <w:pPr>
              <w:spacing w:before="120" w:after="120"/>
              <w:jc w:val="center"/>
              <w:rPr>
                <w:b/>
                <w:bCs/>
              </w:rPr>
            </w:pPr>
            <w:r w:rsidRPr="00207C11">
              <w:rPr>
                <w:b/>
                <w:bCs/>
              </w:rPr>
              <w:t>Obvodový plášť</w:t>
            </w:r>
          </w:p>
        </w:tc>
        <w:tc>
          <w:tcPr>
            <w:tcW w:w="1417" w:type="dxa"/>
            <w:tcBorders>
              <w:top w:val="single" w:sz="12" w:space="0" w:color="auto"/>
              <w:bottom w:val="single" w:sz="12" w:space="0" w:color="auto"/>
            </w:tcBorders>
            <w:vAlign w:val="center"/>
          </w:tcPr>
          <w:p w14:paraId="0E989EFE" w14:textId="77777777" w:rsidR="00A809B0" w:rsidRPr="00207C11" w:rsidRDefault="00A809B0" w:rsidP="00075E0F">
            <w:pPr>
              <w:spacing w:before="120" w:after="120"/>
              <w:jc w:val="center"/>
              <w:rPr>
                <w:b/>
                <w:bCs/>
              </w:rPr>
            </w:pPr>
            <w:r w:rsidRPr="00207C11">
              <w:rPr>
                <w:b/>
                <w:bCs/>
              </w:rPr>
              <w:t>Strešný plášť</w:t>
            </w:r>
          </w:p>
        </w:tc>
        <w:tc>
          <w:tcPr>
            <w:tcW w:w="1418" w:type="dxa"/>
            <w:tcBorders>
              <w:top w:val="single" w:sz="12" w:space="0" w:color="auto"/>
              <w:bottom w:val="single" w:sz="12" w:space="0" w:color="auto"/>
            </w:tcBorders>
          </w:tcPr>
          <w:p w14:paraId="1018221C" w14:textId="77777777" w:rsidR="00A809B0" w:rsidRPr="00207C11" w:rsidRDefault="00A809B0" w:rsidP="00075E0F">
            <w:pPr>
              <w:spacing w:before="120" w:after="120"/>
              <w:jc w:val="center"/>
              <w:rPr>
                <w:b/>
                <w:bCs/>
              </w:rPr>
            </w:pPr>
            <w:r w:rsidRPr="00207C11">
              <w:rPr>
                <w:b/>
                <w:bCs/>
              </w:rPr>
              <w:t>Strop nad suterénom</w:t>
            </w:r>
          </w:p>
        </w:tc>
        <w:tc>
          <w:tcPr>
            <w:tcW w:w="1701" w:type="dxa"/>
            <w:tcBorders>
              <w:top w:val="single" w:sz="12" w:space="0" w:color="auto"/>
              <w:bottom w:val="single" w:sz="12" w:space="0" w:color="auto"/>
            </w:tcBorders>
            <w:vAlign w:val="center"/>
          </w:tcPr>
          <w:p w14:paraId="08E1499E" w14:textId="77777777" w:rsidR="00A809B0" w:rsidRPr="00207C11" w:rsidRDefault="00A809B0" w:rsidP="00075E0F">
            <w:pPr>
              <w:spacing w:before="120" w:after="120"/>
              <w:jc w:val="center"/>
              <w:rPr>
                <w:b/>
                <w:bCs/>
              </w:rPr>
            </w:pPr>
            <w:r w:rsidRPr="00207C11">
              <w:rPr>
                <w:b/>
                <w:bCs/>
              </w:rPr>
              <w:t>Okná</w:t>
            </w:r>
          </w:p>
        </w:tc>
        <w:tc>
          <w:tcPr>
            <w:tcW w:w="1842" w:type="dxa"/>
            <w:tcBorders>
              <w:top w:val="single" w:sz="12" w:space="0" w:color="auto"/>
              <w:bottom w:val="single" w:sz="12" w:space="0" w:color="auto"/>
              <w:right w:val="single" w:sz="12" w:space="0" w:color="auto"/>
            </w:tcBorders>
            <w:vAlign w:val="center"/>
          </w:tcPr>
          <w:p w14:paraId="45D1E3C7" w14:textId="77777777" w:rsidR="00A809B0" w:rsidRPr="00207C11" w:rsidRDefault="00A809B0" w:rsidP="00075E0F">
            <w:pPr>
              <w:spacing w:before="120" w:after="120"/>
              <w:jc w:val="center"/>
              <w:rPr>
                <w:b/>
                <w:bCs/>
              </w:rPr>
            </w:pPr>
            <w:r w:rsidRPr="00207C11">
              <w:rPr>
                <w:b/>
                <w:bCs/>
              </w:rPr>
              <w:t>Zdroj energie</w:t>
            </w:r>
          </w:p>
        </w:tc>
      </w:tr>
      <w:tr w:rsidR="00A809B0" w14:paraId="55D9FA11" w14:textId="77777777" w:rsidTr="00A809B0">
        <w:tc>
          <w:tcPr>
            <w:tcW w:w="813" w:type="dxa"/>
            <w:tcBorders>
              <w:top w:val="single" w:sz="12" w:space="0" w:color="auto"/>
              <w:left w:val="single" w:sz="12" w:space="0" w:color="auto"/>
              <w:right w:val="single" w:sz="12" w:space="0" w:color="auto"/>
            </w:tcBorders>
            <w:vAlign w:val="center"/>
          </w:tcPr>
          <w:p w14:paraId="70C4D4CF" w14:textId="56EF04B8" w:rsidR="00A809B0" w:rsidRPr="00207C11" w:rsidRDefault="00A809B0" w:rsidP="00075E0F">
            <w:pPr>
              <w:spacing w:before="120" w:after="120"/>
              <w:rPr>
                <w:b/>
                <w:bCs/>
              </w:rPr>
            </w:pPr>
            <w:r w:rsidRPr="00207C11">
              <w:rPr>
                <w:b/>
                <w:bCs/>
              </w:rPr>
              <w:t>RD_O1</w:t>
            </w:r>
          </w:p>
          <w:p w14:paraId="4A24F34C" w14:textId="59C6B7A7" w:rsidR="00A809B0" w:rsidRPr="00207C11" w:rsidRDefault="00A809B0" w:rsidP="00075E0F">
            <w:r w:rsidRPr="00207C11">
              <w:rPr>
                <w:sz w:val="14"/>
                <w:szCs w:val="14"/>
              </w:rPr>
              <w:t>TOB6</w:t>
            </w:r>
          </w:p>
        </w:tc>
        <w:tc>
          <w:tcPr>
            <w:tcW w:w="1866" w:type="dxa"/>
            <w:tcBorders>
              <w:top w:val="single" w:sz="12" w:space="0" w:color="auto"/>
            </w:tcBorders>
            <w:vAlign w:val="center"/>
          </w:tcPr>
          <w:p w14:paraId="74613EEE" w14:textId="10A437FD" w:rsidR="00A809B0" w:rsidRPr="00207C11" w:rsidRDefault="00A809B0" w:rsidP="00075E0F">
            <w:pPr>
              <w:jc w:val="center"/>
            </w:pPr>
            <w:r w:rsidRPr="00207C11">
              <w:t>U=0,22 W/(m</w:t>
            </w:r>
            <w:r w:rsidRPr="00207C11">
              <w:rPr>
                <w:vertAlign w:val="superscript"/>
              </w:rPr>
              <w:t>2</w:t>
            </w:r>
            <w:r w:rsidRPr="00207C11">
              <w:t>.K)</w:t>
            </w:r>
          </w:p>
        </w:tc>
        <w:tc>
          <w:tcPr>
            <w:tcW w:w="1417" w:type="dxa"/>
            <w:tcBorders>
              <w:top w:val="single" w:sz="12" w:space="0" w:color="auto"/>
            </w:tcBorders>
            <w:vAlign w:val="center"/>
          </w:tcPr>
          <w:p w14:paraId="22AE35D1" w14:textId="3F6E97ED" w:rsidR="00A809B0" w:rsidRPr="00207C11" w:rsidRDefault="00A809B0" w:rsidP="00075E0F">
            <w:pPr>
              <w:jc w:val="center"/>
            </w:pPr>
            <w:r w:rsidRPr="00207C11">
              <w:t>U=0,15 W/(m</w:t>
            </w:r>
            <w:r w:rsidRPr="00207C11">
              <w:rPr>
                <w:vertAlign w:val="superscript"/>
              </w:rPr>
              <w:t>2</w:t>
            </w:r>
            <w:r w:rsidRPr="00207C11">
              <w:t>.K)</w:t>
            </w:r>
          </w:p>
        </w:tc>
        <w:tc>
          <w:tcPr>
            <w:tcW w:w="1418" w:type="dxa"/>
            <w:tcBorders>
              <w:top w:val="single" w:sz="12" w:space="0" w:color="auto"/>
            </w:tcBorders>
            <w:vAlign w:val="center"/>
          </w:tcPr>
          <w:p w14:paraId="684D31BB" w14:textId="4ED0AD5B" w:rsidR="00A809B0" w:rsidRPr="00207C11" w:rsidRDefault="00A809B0" w:rsidP="00075E0F">
            <w:pPr>
              <w:spacing w:before="120" w:after="120"/>
              <w:jc w:val="center"/>
            </w:pPr>
            <w:r w:rsidRPr="00207C11">
              <w:t>U=0,50 W/(m</w:t>
            </w:r>
            <w:r w:rsidRPr="00207C11">
              <w:rPr>
                <w:vertAlign w:val="superscript"/>
              </w:rPr>
              <w:t>2</w:t>
            </w:r>
            <w:r w:rsidRPr="00207C11">
              <w:t>.K)</w:t>
            </w:r>
          </w:p>
        </w:tc>
        <w:tc>
          <w:tcPr>
            <w:tcW w:w="1701" w:type="dxa"/>
            <w:tcBorders>
              <w:top w:val="single" w:sz="12" w:space="0" w:color="auto"/>
            </w:tcBorders>
            <w:vAlign w:val="center"/>
          </w:tcPr>
          <w:p w14:paraId="7E5E31A3" w14:textId="44FD9799" w:rsidR="00A809B0" w:rsidRPr="00207C11" w:rsidRDefault="00A809B0" w:rsidP="00075E0F">
            <w:pPr>
              <w:spacing w:before="120" w:after="120"/>
              <w:jc w:val="center"/>
            </w:pPr>
            <w:r w:rsidRPr="00207C11">
              <w:t>U=1,0 W/(m</w:t>
            </w:r>
            <w:r w:rsidRPr="00207C11">
              <w:rPr>
                <w:vertAlign w:val="superscript"/>
              </w:rPr>
              <w:t>2</w:t>
            </w:r>
            <w:r w:rsidRPr="00207C11">
              <w:t>.K)</w:t>
            </w:r>
          </w:p>
        </w:tc>
        <w:tc>
          <w:tcPr>
            <w:tcW w:w="1842" w:type="dxa"/>
            <w:tcBorders>
              <w:top w:val="single" w:sz="12" w:space="0" w:color="auto"/>
              <w:right w:val="single" w:sz="12" w:space="0" w:color="auto"/>
            </w:tcBorders>
            <w:vAlign w:val="center"/>
          </w:tcPr>
          <w:p w14:paraId="7EA3329F" w14:textId="026A7F1F" w:rsidR="00A809B0" w:rsidRPr="00207C11" w:rsidRDefault="00A809B0" w:rsidP="00075E0F">
            <w:pPr>
              <w:spacing w:before="120" w:after="120"/>
              <w:jc w:val="center"/>
            </w:pPr>
            <w:r w:rsidRPr="00207C11">
              <w:t>Nový kotol na peletky</w:t>
            </w:r>
          </w:p>
        </w:tc>
      </w:tr>
      <w:tr w:rsidR="00A809B0" w14:paraId="2E178353" w14:textId="77777777" w:rsidTr="00A809B0">
        <w:tc>
          <w:tcPr>
            <w:tcW w:w="813" w:type="dxa"/>
            <w:tcBorders>
              <w:left w:val="single" w:sz="12" w:space="0" w:color="auto"/>
              <w:right w:val="single" w:sz="12" w:space="0" w:color="auto"/>
            </w:tcBorders>
            <w:vAlign w:val="center"/>
          </w:tcPr>
          <w:p w14:paraId="265B4534" w14:textId="6BE15F2A" w:rsidR="00A809B0" w:rsidRPr="00207C11" w:rsidRDefault="00A809B0" w:rsidP="00075E0F">
            <w:pPr>
              <w:spacing w:before="120" w:after="120"/>
              <w:rPr>
                <w:b/>
                <w:bCs/>
              </w:rPr>
            </w:pPr>
            <w:r w:rsidRPr="00207C11">
              <w:rPr>
                <w:b/>
                <w:bCs/>
              </w:rPr>
              <w:t>RD_O2</w:t>
            </w:r>
          </w:p>
          <w:p w14:paraId="167AAC5E" w14:textId="10C9DA1F" w:rsidR="00A809B0" w:rsidRPr="00207C11" w:rsidRDefault="00A809B0" w:rsidP="00075E0F">
            <w:pPr>
              <w:spacing w:before="120" w:after="120"/>
            </w:pPr>
            <w:r w:rsidRPr="00207C11">
              <w:rPr>
                <w:sz w:val="14"/>
                <w:szCs w:val="14"/>
              </w:rPr>
              <w:t>TOB6</w:t>
            </w:r>
          </w:p>
        </w:tc>
        <w:tc>
          <w:tcPr>
            <w:tcW w:w="1866" w:type="dxa"/>
            <w:vAlign w:val="center"/>
          </w:tcPr>
          <w:p w14:paraId="39F7C051" w14:textId="125F7A67" w:rsidR="00A809B0" w:rsidRPr="00207C11" w:rsidRDefault="00A809B0" w:rsidP="00075E0F">
            <w:pPr>
              <w:jc w:val="center"/>
            </w:pPr>
            <w:r w:rsidRPr="00207C11">
              <w:t>U=0,22 W/(m</w:t>
            </w:r>
            <w:r w:rsidRPr="00207C11">
              <w:rPr>
                <w:vertAlign w:val="superscript"/>
              </w:rPr>
              <w:t>2</w:t>
            </w:r>
            <w:r w:rsidRPr="00207C11">
              <w:t>.K)</w:t>
            </w:r>
          </w:p>
        </w:tc>
        <w:tc>
          <w:tcPr>
            <w:tcW w:w="1417" w:type="dxa"/>
            <w:vAlign w:val="center"/>
          </w:tcPr>
          <w:p w14:paraId="54C24E17" w14:textId="10C73AD0" w:rsidR="00A809B0" w:rsidRPr="00207C11" w:rsidRDefault="00A809B0" w:rsidP="00075E0F">
            <w:pPr>
              <w:jc w:val="center"/>
            </w:pPr>
            <w:r w:rsidRPr="00207C11">
              <w:t>U=0,15 W/(m</w:t>
            </w:r>
            <w:r w:rsidRPr="00207C11">
              <w:rPr>
                <w:vertAlign w:val="superscript"/>
              </w:rPr>
              <w:t>2</w:t>
            </w:r>
            <w:r w:rsidRPr="00207C11">
              <w:t>.K)</w:t>
            </w:r>
          </w:p>
        </w:tc>
        <w:tc>
          <w:tcPr>
            <w:tcW w:w="1418" w:type="dxa"/>
            <w:vAlign w:val="center"/>
          </w:tcPr>
          <w:p w14:paraId="0ED7598B" w14:textId="369762DC" w:rsidR="00A809B0" w:rsidRPr="00207C11" w:rsidRDefault="00A809B0" w:rsidP="00075E0F">
            <w:pPr>
              <w:spacing w:before="120" w:after="120"/>
              <w:jc w:val="center"/>
            </w:pPr>
            <w:r w:rsidRPr="00207C11">
              <w:t>U=0,50 W/(m</w:t>
            </w:r>
            <w:r w:rsidRPr="00207C11">
              <w:rPr>
                <w:vertAlign w:val="superscript"/>
              </w:rPr>
              <w:t>2</w:t>
            </w:r>
            <w:r w:rsidRPr="00207C11">
              <w:t>.K)</w:t>
            </w:r>
          </w:p>
        </w:tc>
        <w:tc>
          <w:tcPr>
            <w:tcW w:w="1701" w:type="dxa"/>
            <w:vAlign w:val="center"/>
          </w:tcPr>
          <w:p w14:paraId="7DCEF01F" w14:textId="1F36E937" w:rsidR="00A809B0" w:rsidRPr="00207C11" w:rsidRDefault="00A809B0" w:rsidP="00075E0F">
            <w:pPr>
              <w:spacing w:before="120" w:after="120"/>
              <w:jc w:val="center"/>
            </w:pPr>
            <w:r w:rsidRPr="00207C11">
              <w:t>U=1,0 W/(m</w:t>
            </w:r>
            <w:r w:rsidRPr="00207C11">
              <w:rPr>
                <w:vertAlign w:val="superscript"/>
              </w:rPr>
              <w:t>2</w:t>
            </w:r>
            <w:r w:rsidRPr="00207C11">
              <w:t>.K)</w:t>
            </w:r>
          </w:p>
        </w:tc>
        <w:tc>
          <w:tcPr>
            <w:tcW w:w="1842" w:type="dxa"/>
            <w:tcBorders>
              <w:right w:val="single" w:sz="12" w:space="0" w:color="auto"/>
            </w:tcBorders>
            <w:vAlign w:val="center"/>
          </w:tcPr>
          <w:p w14:paraId="06DED82A" w14:textId="686BB32B" w:rsidR="00A809B0" w:rsidRPr="00207C11" w:rsidRDefault="00A809B0" w:rsidP="00075E0F">
            <w:pPr>
              <w:spacing w:before="120" w:after="120"/>
              <w:jc w:val="center"/>
            </w:pPr>
            <w:r w:rsidRPr="00207C11">
              <w:t>Tepelné čerpadlo vzduch-voda</w:t>
            </w:r>
            <w:r w:rsidR="00587D48" w:rsidRPr="00207C11">
              <w:t xml:space="preserve"> (SPF = 2,5)</w:t>
            </w:r>
          </w:p>
        </w:tc>
      </w:tr>
      <w:tr w:rsidR="00A809B0" w14:paraId="5C85BB77" w14:textId="77777777" w:rsidTr="00A809B0">
        <w:tc>
          <w:tcPr>
            <w:tcW w:w="813" w:type="dxa"/>
            <w:tcBorders>
              <w:left w:val="single" w:sz="12" w:space="0" w:color="auto"/>
              <w:bottom w:val="single" w:sz="12" w:space="0" w:color="auto"/>
              <w:right w:val="single" w:sz="12" w:space="0" w:color="auto"/>
            </w:tcBorders>
            <w:vAlign w:val="center"/>
          </w:tcPr>
          <w:p w14:paraId="5715C63E" w14:textId="2462C56E" w:rsidR="00A809B0" w:rsidRPr="00207C11" w:rsidRDefault="00A809B0" w:rsidP="00075E0F">
            <w:pPr>
              <w:spacing w:before="120" w:after="120"/>
              <w:rPr>
                <w:b/>
                <w:bCs/>
              </w:rPr>
            </w:pPr>
            <w:r w:rsidRPr="00207C11">
              <w:rPr>
                <w:b/>
                <w:bCs/>
              </w:rPr>
              <w:t>RD_O3</w:t>
            </w:r>
          </w:p>
          <w:p w14:paraId="7963101D" w14:textId="4B40BF5F" w:rsidR="00A809B0" w:rsidRPr="00207C11" w:rsidRDefault="00A809B0" w:rsidP="00075E0F">
            <w:pPr>
              <w:spacing w:before="120" w:after="120"/>
              <w:rPr>
                <w:b/>
                <w:bCs/>
              </w:rPr>
            </w:pPr>
            <w:r w:rsidRPr="00207C11">
              <w:rPr>
                <w:sz w:val="14"/>
                <w:szCs w:val="14"/>
              </w:rPr>
              <w:t>TOB7</w:t>
            </w:r>
          </w:p>
        </w:tc>
        <w:tc>
          <w:tcPr>
            <w:tcW w:w="1866" w:type="dxa"/>
            <w:tcBorders>
              <w:bottom w:val="single" w:sz="12" w:space="0" w:color="auto"/>
            </w:tcBorders>
            <w:vAlign w:val="center"/>
          </w:tcPr>
          <w:p w14:paraId="01E07A8F" w14:textId="3CD525A8" w:rsidR="00A809B0" w:rsidRPr="00207C11" w:rsidRDefault="00A809B0" w:rsidP="00075E0F">
            <w:pPr>
              <w:jc w:val="center"/>
            </w:pPr>
            <w:r w:rsidRPr="00207C11">
              <w:t>U=0,15 W/(m</w:t>
            </w:r>
            <w:r w:rsidRPr="00207C11">
              <w:rPr>
                <w:vertAlign w:val="superscript"/>
              </w:rPr>
              <w:t>2</w:t>
            </w:r>
            <w:r w:rsidRPr="00207C11">
              <w:t>.K)</w:t>
            </w:r>
          </w:p>
        </w:tc>
        <w:tc>
          <w:tcPr>
            <w:tcW w:w="1417" w:type="dxa"/>
            <w:tcBorders>
              <w:bottom w:val="single" w:sz="12" w:space="0" w:color="auto"/>
            </w:tcBorders>
            <w:vAlign w:val="center"/>
          </w:tcPr>
          <w:p w14:paraId="3F4DDEB2" w14:textId="4627FDA0" w:rsidR="00A809B0" w:rsidRPr="00207C11" w:rsidRDefault="00A809B0" w:rsidP="00075E0F">
            <w:pPr>
              <w:jc w:val="center"/>
            </w:pPr>
            <w:r w:rsidRPr="00207C11">
              <w:t>U=0,10 W/(m</w:t>
            </w:r>
            <w:r w:rsidRPr="00207C11">
              <w:rPr>
                <w:vertAlign w:val="superscript"/>
              </w:rPr>
              <w:t>2</w:t>
            </w:r>
            <w:r w:rsidRPr="00207C11">
              <w:t>.K)</w:t>
            </w:r>
          </w:p>
        </w:tc>
        <w:tc>
          <w:tcPr>
            <w:tcW w:w="1418" w:type="dxa"/>
            <w:tcBorders>
              <w:bottom w:val="single" w:sz="12" w:space="0" w:color="auto"/>
            </w:tcBorders>
            <w:vAlign w:val="center"/>
          </w:tcPr>
          <w:p w14:paraId="2ABC5347" w14:textId="3FFA99C0" w:rsidR="00A809B0" w:rsidRPr="00207C11" w:rsidRDefault="00A809B0" w:rsidP="00075E0F">
            <w:pPr>
              <w:spacing w:before="120" w:after="120"/>
              <w:jc w:val="center"/>
            </w:pPr>
            <w:r w:rsidRPr="00207C11">
              <w:t>U=0,25 W/(m</w:t>
            </w:r>
            <w:r w:rsidRPr="00207C11">
              <w:rPr>
                <w:vertAlign w:val="superscript"/>
              </w:rPr>
              <w:t>2</w:t>
            </w:r>
            <w:r w:rsidRPr="00207C11">
              <w:t>.K)</w:t>
            </w:r>
          </w:p>
        </w:tc>
        <w:tc>
          <w:tcPr>
            <w:tcW w:w="1701" w:type="dxa"/>
            <w:tcBorders>
              <w:bottom w:val="single" w:sz="12" w:space="0" w:color="auto"/>
            </w:tcBorders>
            <w:vAlign w:val="center"/>
          </w:tcPr>
          <w:p w14:paraId="6F6BDA0B" w14:textId="0EB4707E" w:rsidR="00A809B0" w:rsidRPr="00207C11" w:rsidRDefault="00A809B0" w:rsidP="00075E0F">
            <w:pPr>
              <w:spacing w:before="120" w:after="120"/>
              <w:jc w:val="center"/>
            </w:pPr>
            <w:r w:rsidRPr="00207C11">
              <w:t>U=0,85 W/(m</w:t>
            </w:r>
            <w:r w:rsidRPr="00207C11">
              <w:rPr>
                <w:vertAlign w:val="superscript"/>
              </w:rPr>
              <w:t>2</w:t>
            </w:r>
            <w:r w:rsidRPr="00207C11">
              <w:t>.K)</w:t>
            </w:r>
          </w:p>
        </w:tc>
        <w:tc>
          <w:tcPr>
            <w:tcW w:w="1842" w:type="dxa"/>
            <w:tcBorders>
              <w:bottom w:val="single" w:sz="12" w:space="0" w:color="auto"/>
              <w:right w:val="single" w:sz="12" w:space="0" w:color="auto"/>
            </w:tcBorders>
            <w:vAlign w:val="center"/>
          </w:tcPr>
          <w:p w14:paraId="1798D08F" w14:textId="3DB85355" w:rsidR="00A809B0" w:rsidRPr="00207C11" w:rsidRDefault="00A809B0" w:rsidP="00075E0F">
            <w:pPr>
              <w:spacing w:before="120" w:after="120"/>
              <w:jc w:val="center"/>
            </w:pPr>
            <w:r w:rsidRPr="00207C11">
              <w:t>Tepelné čerpadlo vzduch-voda</w:t>
            </w:r>
            <w:r w:rsidR="00587D48" w:rsidRPr="00207C11">
              <w:t xml:space="preserve"> (SPF = 2,5)</w:t>
            </w:r>
          </w:p>
        </w:tc>
      </w:tr>
    </w:tbl>
    <w:p w14:paraId="1175A2F1" w14:textId="04035C66" w:rsidR="00C174EE" w:rsidRPr="00F014EA" w:rsidRDefault="00C174EE" w:rsidP="00C174EE">
      <w:pPr>
        <w:spacing w:before="120" w:after="120"/>
      </w:pPr>
      <w:r>
        <w:t>*označenie typu úrovne O1, O2, O3 = Obnovený stav 1, Obnovený stav 2, Obnovený stav 3.</w:t>
      </w:r>
    </w:p>
    <w:p w14:paraId="7A3B26B5" w14:textId="7B53D8F8" w:rsidR="00085BE9" w:rsidRDefault="00085BE9" w:rsidP="00272395">
      <w:pPr>
        <w:spacing w:before="120" w:after="120"/>
      </w:pPr>
    </w:p>
    <w:p w14:paraId="28709814" w14:textId="18B7AEBD" w:rsidR="00682330" w:rsidRDefault="00682330" w:rsidP="00C206D9">
      <w:pPr>
        <w:pStyle w:val="Nadpis2"/>
        <w:numPr>
          <w:ilvl w:val="0"/>
          <w:numId w:val="0"/>
        </w:numPr>
      </w:pPr>
      <w:bookmarkStart w:id="13" w:name="_Toc62576772"/>
      <w:r>
        <w:t>4.1 Potreba energie</w:t>
      </w:r>
      <w:r w:rsidR="00391A78">
        <w:t xml:space="preserve"> na vykurovanie</w:t>
      </w:r>
      <w:bookmarkEnd w:id="13"/>
    </w:p>
    <w:p w14:paraId="59B74547" w14:textId="0913BF96" w:rsidR="00D774AD" w:rsidRPr="00D774AD" w:rsidRDefault="00D774AD" w:rsidP="00D774AD">
      <w:r>
        <w:rPr>
          <w:rFonts w:cs="Franklin Got Itc T OT Demi"/>
          <w:color w:val="000000"/>
        </w:rPr>
        <w:t>P</w:t>
      </w:r>
      <w:r w:rsidRPr="00A6602F">
        <w:rPr>
          <w:rFonts w:cs="Franklin Got Itc T OT Demi"/>
          <w:color w:val="000000"/>
        </w:rPr>
        <w:t>otreb</w:t>
      </w:r>
      <w:r>
        <w:rPr>
          <w:rFonts w:cs="Franklin Got Itc T OT Demi"/>
          <w:color w:val="000000"/>
        </w:rPr>
        <w:t>a</w:t>
      </w:r>
      <w:r w:rsidRPr="00A6602F">
        <w:rPr>
          <w:rFonts w:cs="Franklin Got Itc T OT Demi"/>
          <w:color w:val="000000"/>
        </w:rPr>
        <w:t xml:space="preserve"> energie na vykurovanie</w:t>
      </w:r>
      <w:r>
        <w:rPr>
          <w:rFonts w:cs="Franklin Got Itc T OT Demi"/>
          <w:color w:val="000000"/>
        </w:rPr>
        <w:t xml:space="preserve"> pre obnovené rodinné domy je určená rovnakým spôsobom podľa metodiky [</w:t>
      </w:r>
      <w:r w:rsidR="005B4055">
        <w:rPr>
          <w:rFonts w:cs="Franklin Got Itc T OT Demi"/>
          <w:color w:val="000000"/>
        </w:rPr>
        <w:t>7</w:t>
      </w:r>
      <w:r>
        <w:rPr>
          <w:rFonts w:cs="Franklin Got Itc T OT Demi"/>
          <w:color w:val="000000"/>
        </w:rPr>
        <w:t>]</w:t>
      </w:r>
    </w:p>
    <w:p w14:paraId="50867728" w14:textId="685A2022" w:rsidR="00B754B4" w:rsidRPr="00445849" w:rsidRDefault="00B754B4" w:rsidP="00B754B4">
      <w:pPr>
        <w:rPr>
          <w:rFonts w:cstheme="minorHAnsi"/>
          <w:i/>
          <w:iCs/>
        </w:rPr>
      </w:pPr>
      <w:r w:rsidRPr="00445849">
        <w:rPr>
          <w:rFonts w:cstheme="minorHAnsi"/>
          <w:i/>
          <w:iCs/>
        </w:rPr>
        <w:t xml:space="preserve">Tabuľka </w:t>
      </w:r>
      <w:r w:rsidR="00445849" w:rsidRPr="00445849">
        <w:rPr>
          <w:rFonts w:cstheme="minorHAnsi"/>
          <w:i/>
          <w:iCs/>
        </w:rPr>
        <w:t>1</w:t>
      </w:r>
      <w:r w:rsidR="009D46B3">
        <w:rPr>
          <w:rFonts w:cstheme="minorHAnsi"/>
          <w:i/>
          <w:iCs/>
        </w:rPr>
        <w:t>5</w:t>
      </w:r>
      <w:r w:rsidR="00445849" w:rsidRPr="00445849">
        <w:rPr>
          <w:rFonts w:cstheme="minorHAnsi"/>
          <w:i/>
          <w:iCs/>
        </w:rPr>
        <w:t>:</w:t>
      </w:r>
      <w:r w:rsidRPr="00445849">
        <w:rPr>
          <w:rFonts w:cstheme="minorHAnsi"/>
          <w:i/>
          <w:iCs/>
        </w:rPr>
        <w:t xml:space="preserve"> Celková účinnosť vykurovacieho systému </w:t>
      </w:r>
      <w:r w:rsidRPr="00445849">
        <w:rPr>
          <w:rFonts w:cstheme="minorHAnsi"/>
          <w:i/>
          <w:iCs/>
          <w:color w:val="000000"/>
        </w:rPr>
        <w:t>podľa metodiky [</w:t>
      </w:r>
      <w:r w:rsidR="005B4055">
        <w:rPr>
          <w:rFonts w:cstheme="minorHAnsi"/>
          <w:i/>
          <w:iCs/>
          <w:color w:val="000000"/>
        </w:rPr>
        <w:t>7</w:t>
      </w:r>
      <w:r w:rsidRPr="00445849">
        <w:rPr>
          <w:rFonts w:cstheme="minorHAnsi"/>
          <w:i/>
          <w:iCs/>
          <w:color w:val="000000"/>
        </w:rPr>
        <w:t>]</w:t>
      </w:r>
    </w:p>
    <w:tbl>
      <w:tblPr>
        <w:tblW w:w="9067" w:type="dxa"/>
        <w:tblCellMar>
          <w:left w:w="70" w:type="dxa"/>
          <w:right w:w="70" w:type="dxa"/>
        </w:tblCellMar>
        <w:tblLook w:val="04A0" w:firstRow="1" w:lastRow="0" w:firstColumn="1" w:lastColumn="0" w:noHBand="0" w:noVBand="1"/>
      </w:tblPr>
      <w:tblGrid>
        <w:gridCol w:w="1129"/>
        <w:gridCol w:w="6521"/>
        <w:gridCol w:w="1417"/>
      </w:tblGrid>
      <w:tr w:rsidR="00B754B4" w:rsidRPr="00A6602F" w14:paraId="2A48D549" w14:textId="77777777" w:rsidTr="003310AB">
        <w:trPr>
          <w:trHeight w:val="480"/>
        </w:trPr>
        <w:tc>
          <w:tcPr>
            <w:tcW w:w="112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1961997" w14:textId="77777777" w:rsidR="00B754B4" w:rsidRPr="00207C11" w:rsidRDefault="00B754B4" w:rsidP="003310AB">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Označ.</w:t>
            </w:r>
          </w:p>
        </w:tc>
        <w:tc>
          <w:tcPr>
            <w:tcW w:w="652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6608A74" w14:textId="77777777" w:rsidR="00B754B4" w:rsidRPr="00207C11" w:rsidRDefault="00B754B4" w:rsidP="003310AB">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Typ vykurovania</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0AC3A64" w14:textId="77777777" w:rsidR="00B754B4" w:rsidRPr="00207C11" w:rsidRDefault="00B754B4" w:rsidP="003310AB">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Účinnosť [%]</w:t>
            </w:r>
          </w:p>
        </w:tc>
      </w:tr>
      <w:tr w:rsidR="00B754B4" w:rsidRPr="00A6602F" w14:paraId="17CF25D2" w14:textId="77777777" w:rsidTr="003310AB">
        <w:trPr>
          <w:trHeight w:val="454"/>
        </w:trPr>
        <w:tc>
          <w:tcPr>
            <w:tcW w:w="1129"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472B2BE2" w14:textId="77777777" w:rsidR="00B754B4" w:rsidRPr="00207C11" w:rsidRDefault="00B754B4" w:rsidP="00B754B4">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RD_P1</w:t>
            </w:r>
          </w:p>
        </w:tc>
        <w:tc>
          <w:tcPr>
            <w:tcW w:w="6521"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E3F5930" w14:textId="6A6DEB39" w:rsidR="00B754B4" w:rsidRPr="00207C11" w:rsidRDefault="00B754B4" w:rsidP="00B754B4">
            <w:pPr>
              <w:spacing w:after="0" w:line="240" w:lineRule="auto"/>
              <w:rPr>
                <w:rFonts w:ascii="Calibri" w:eastAsia="Times New Roman" w:hAnsi="Calibri" w:cs="Times New Roman"/>
                <w:color w:val="000000"/>
                <w:sz w:val="20"/>
                <w:szCs w:val="20"/>
                <w:lang w:eastAsia="sk-SK"/>
              </w:rPr>
            </w:pPr>
            <w:r w:rsidRPr="00207C11">
              <w:rPr>
                <w:rFonts w:ascii="Calibri" w:hAnsi="Calibri" w:cs="Calibri"/>
                <w:color w:val="000000"/>
                <w:sz w:val="20"/>
                <w:szCs w:val="20"/>
              </w:rPr>
              <w:t>Kotol na drevené peletky</w:t>
            </w:r>
          </w:p>
        </w:tc>
        <w:tc>
          <w:tcPr>
            <w:tcW w:w="1417"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3F4D6958" w14:textId="6DFA5B23" w:rsidR="00B754B4" w:rsidRPr="00207C11" w:rsidRDefault="00B754B4" w:rsidP="00B754B4">
            <w:pPr>
              <w:spacing w:after="0" w:line="240" w:lineRule="auto"/>
              <w:jc w:val="center"/>
              <w:rPr>
                <w:rFonts w:ascii="Calibri" w:eastAsia="Times New Roman" w:hAnsi="Calibri" w:cs="Times New Roman"/>
                <w:color w:val="000000"/>
                <w:sz w:val="20"/>
                <w:szCs w:val="20"/>
                <w:lang w:eastAsia="sk-SK"/>
              </w:rPr>
            </w:pPr>
            <w:r w:rsidRPr="00207C11">
              <w:rPr>
                <w:rFonts w:ascii="Calibri" w:hAnsi="Calibri" w:cs="Calibri"/>
                <w:color w:val="000000"/>
                <w:sz w:val="20"/>
                <w:szCs w:val="20"/>
              </w:rPr>
              <w:t>82</w:t>
            </w:r>
          </w:p>
        </w:tc>
      </w:tr>
      <w:tr w:rsidR="00B754B4" w:rsidRPr="00A6602F" w14:paraId="7A49E5E0" w14:textId="77777777" w:rsidTr="003310AB">
        <w:trPr>
          <w:trHeight w:val="454"/>
        </w:trPr>
        <w:tc>
          <w:tcPr>
            <w:tcW w:w="1129" w:type="dxa"/>
            <w:tcBorders>
              <w:top w:val="nil"/>
              <w:left w:val="single" w:sz="12" w:space="0" w:color="auto"/>
              <w:bottom w:val="single" w:sz="4" w:space="0" w:color="auto"/>
              <w:right w:val="single" w:sz="12" w:space="0" w:color="auto"/>
            </w:tcBorders>
            <w:shd w:val="clear" w:color="auto" w:fill="auto"/>
            <w:vAlign w:val="center"/>
            <w:hideMark/>
          </w:tcPr>
          <w:p w14:paraId="00EA9C65" w14:textId="77777777" w:rsidR="00B754B4" w:rsidRPr="00207C11" w:rsidRDefault="00B754B4" w:rsidP="00B754B4">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RD_P2</w:t>
            </w:r>
          </w:p>
        </w:tc>
        <w:tc>
          <w:tcPr>
            <w:tcW w:w="6521" w:type="dxa"/>
            <w:tcBorders>
              <w:top w:val="nil"/>
              <w:left w:val="single" w:sz="12" w:space="0" w:color="auto"/>
              <w:bottom w:val="single" w:sz="4" w:space="0" w:color="auto"/>
              <w:right w:val="single" w:sz="12" w:space="0" w:color="auto"/>
            </w:tcBorders>
            <w:shd w:val="clear" w:color="auto" w:fill="auto"/>
            <w:vAlign w:val="center"/>
            <w:hideMark/>
          </w:tcPr>
          <w:p w14:paraId="437E7D86" w14:textId="3A4EFBE9" w:rsidR="00B754B4" w:rsidRPr="00207C11" w:rsidRDefault="00B754B4" w:rsidP="00B754B4">
            <w:pPr>
              <w:spacing w:after="0" w:line="240" w:lineRule="auto"/>
              <w:rPr>
                <w:rFonts w:ascii="Calibri" w:eastAsia="Times New Roman" w:hAnsi="Calibri" w:cs="Times New Roman"/>
                <w:color w:val="000000"/>
                <w:sz w:val="20"/>
                <w:szCs w:val="20"/>
                <w:lang w:eastAsia="sk-SK"/>
              </w:rPr>
            </w:pPr>
            <w:r w:rsidRPr="00207C11">
              <w:rPr>
                <w:rFonts w:ascii="Calibri" w:hAnsi="Calibri" w:cs="Calibri"/>
                <w:color w:val="000000"/>
                <w:sz w:val="20"/>
                <w:szCs w:val="20"/>
              </w:rPr>
              <w:t>Tepelné čerpadlo vzduch/voda</w:t>
            </w:r>
          </w:p>
        </w:tc>
        <w:tc>
          <w:tcPr>
            <w:tcW w:w="1417"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14:paraId="66A2454F" w14:textId="6EF7CCD0" w:rsidR="00B754B4" w:rsidRPr="00207C11" w:rsidRDefault="00B754B4" w:rsidP="00B754B4">
            <w:pPr>
              <w:spacing w:after="0" w:line="240" w:lineRule="auto"/>
              <w:jc w:val="center"/>
              <w:rPr>
                <w:rFonts w:ascii="Calibri" w:eastAsia="Times New Roman" w:hAnsi="Calibri" w:cs="Times New Roman"/>
                <w:color w:val="000000"/>
                <w:sz w:val="20"/>
                <w:szCs w:val="20"/>
                <w:lang w:eastAsia="sk-SK"/>
              </w:rPr>
            </w:pPr>
            <w:r w:rsidRPr="00207C11">
              <w:rPr>
                <w:rFonts w:ascii="Calibri" w:hAnsi="Calibri" w:cs="Calibri"/>
                <w:color w:val="000000"/>
                <w:sz w:val="20"/>
                <w:szCs w:val="20"/>
              </w:rPr>
              <w:t>250</w:t>
            </w:r>
          </w:p>
        </w:tc>
      </w:tr>
      <w:tr w:rsidR="00B754B4" w:rsidRPr="00A6602F" w14:paraId="06A85415" w14:textId="77777777" w:rsidTr="003310AB">
        <w:trPr>
          <w:trHeight w:val="454"/>
        </w:trPr>
        <w:tc>
          <w:tcPr>
            <w:tcW w:w="1129" w:type="dxa"/>
            <w:tcBorders>
              <w:top w:val="nil"/>
              <w:left w:val="single" w:sz="12" w:space="0" w:color="auto"/>
              <w:bottom w:val="single" w:sz="12" w:space="0" w:color="auto"/>
              <w:right w:val="single" w:sz="12" w:space="0" w:color="auto"/>
            </w:tcBorders>
            <w:shd w:val="clear" w:color="auto" w:fill="auto"/>
            <w:vAlign w:val="center"/>
            <w:hideMark/>
          </w:tcPr>
          <w:p w14:paraId="0004BE16" w14:textId="77777777" w:rsidR="00B754B4" w:rsidRPr="00207C11" w:rsidRDefault="00B754B4" w:rsidP="00B754B4">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RD_P3</w:t>
            </w:r>
          </w:p>
        </w:tc>
        <w:tc>
          <w:tcPr>
            <w:tcW w:w="6521" w:type="dxa"/>
            <w:tcBorders>
              <w:top w:val="nil"/>
              <w:left w:val="single" w:sz="12" w:space="0" w:color="auto"/>
              <w:bottom w:val="single" w:sz="12" w:space="0" w:color="auto"/>
              <w:right w:val="single" w:sz="12" w:space="0" w:color="auto"/>
            </w:tcBorders>
            <w:shd w:val="clear" w:color="auto" w:fill="auto"/>
            <w:vAlign w:val="center"/>
            <w:hideMark/>
          </w:tcPr>
          <w:p w14:paraId="50FD0145" w14:textId="4A5F2585" w:rsidR="00B754B4" w:rsidRPr="00207C11" w:rsidRDefault="00B754B4" w:rsidP="00B754B4">
            <w:pPr>
              <w:spacing w:after="0" w:line="240" w:lineRule="auto"/>
              <w:rPr>
                <w:rFonts w:ascii="Calibri" w:eastAsia="Times New Roman" w:hAnsi="Calibri" w:cs="Times New Roman"/>
                <w:color w:val="000000"/>
                <w:sz w:val="20"/>
                <w:szCs w:val="20"/>
                <w:lang w:eastAsia="sk-SK"/>
              </w:rPr>
            </w:pPr>
            <w:r w:rsidRPr="00207C11">
              <w:rPr>
                <w:rFonts w:ascii="Calibri" w:hAnsi="Calibri" w:cs="Calibri"/>
                <w:color w:val="000000"/>
                <w:sz w:val="20"/>
                <w:szCs w:val="20"/>
              </w:rPr>
              <w:t>Tepelné čerpadlo vzduch/voda</w:t>
            </w:r>
          </w:p>
        </w:tc>
        <w:tc>
          <w:tcPr>
            <w:tcW w:w="1417"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1526A583" w14:textId="1151A979" w:rsidR="00B754B4" w:rsidRPr="00207C11" w:rsidRDefault="00B754B4" w:rsidP="00B754B4">
            <w:pPr>
              <w:spacing w:after="0" w:line="240" w:lineRule="auto"/>
              <w:jc w:val="center"/>
              <w:rPr>
                <w:rFonts w:ascii="Calibri" w:eastAsia="Times New Roman" w:hAnsi="Calibri" w:cs="Times New Roman"/>
                <w:color w:val="000000"/>
                <w:sz w:val="20"/>
                <w:szCs w:val="20"/>
                <w:lang w:eastAsia="sk-SK"/>
              </w:rPr>
            </w:pPr>
            <w:r w:rsidRPr="00207C11">
              <w:rPr>
                <w:rFonts w:ascii="Calibri" w:hAnsi="Calibri" w:cs="Calibri"/>
                <w:color w:val="000000"/>
                <w:sz w:val="20"/>
                <w:szCs w:val="20"/>
              </w:rPr>
              <w:t>250</w:t>
            </w:r>
          </w:p>
        </w:tc>
      </w:tr>
    </w:tbl>
    <w:p w14:paraId="02AE53AB" w14:textId="59AC55A6" w:rsidR="00B754B4" w:rsidRDefault="00B754B4" w:rsidP="00B754B4"/>
    <w:p w14:paraId="2BDC0D6F" w14:textId="761E4E7C" w:rsidR="004E1ED8" w:rsidRPr="00445849" w:rsidRDefault="0060033C" w:rsidP="0060033C">
      <w:pPr>
        <w:rPr>
          <w:i/>
          <w:iCs/>
        </w:rPr>
      </w:pPr>
      <w:r w:rsidRPr="00445849">
        <w:rPr>
          <w:i/>
          <w:iCs/>
        </w:rPr>
        <w:lastRenderedPageBreak/>
        <w:t>Tab</w:t>
      </w:r>
      <w:r w:rsidR="00445849" w:rsidRPr="00445849">
        <w:rPr>
          <w:i/>
          <w:iCs/>
        </w:rPr>
        <w:t>.</w:t>
      </w:r>
      <w:r w:rsidRPr="00445849">
        <w:rPr>
          <w:i/>
          <w:iCs/>
        </w:rPr>
        <w:t xml:space="preserve"> </w:t>
      </w:r>
      <w:r w:rsidR="00445849" w:rsidRPr="00445849">
        <w:rPr>
          <w:i/>
          <w:iCs/>
        </w:rPr>
        <w:t>1</w:t>
      </w:r>
      <w:r w:rsidR="009D46B3">
        <w:rPr>
          <w:i/>
          <w:iCs/>
        </w:rPr>
        <w:t>6</w:t>
      </w:r>
      <w:r w:rsidR="00445849" w:rsidRPr="00445849">
        <w:rPr>
          <w:i/>
          <w:iCs/>
        </w:rPr>
        <w:t>:</w:t>
      </w:r>
      <w:r w:rsidRPr="00445849">
        <w:rPr>
          <w:i/>
          <w:iCs/>
        </w:rPr>
        <w:t xml:space="preserve"> Potreba energie na vykurovanie (obnovený stav)</w:t>
      </w:r>
    </w:p>
    <w:tbl>
      <w:tblPr>
        <w:tblW w:w="9062" w:type="dxa"/>
        <w:tblCellMar>
          <w:left w:w="70" w:type="dxa"/>
          <w:right w:w="70" w:type="dxa"/>
        </w:tblCellMar>
        <w:tblLook w:val="04A0" w:firstRow="1" w:lastRow="0" w:firstColumn="1" w:lastColumn="0" w:noHBand="0" w:noVBand="1"/>
      </w:tblPr>
      <w:tblGrid>
        <w:gridCol w:w="1216"/>
        <w:gridCol w:w="1300"/>
        <w:gridCol w:w="1220"/>
        <w:gridCol w:w="1339"/>
        <w:gridCol w:w="1299"/>
        <w:gridCol w:w="1467"/>
        <w:gridCol w:w="1221"/>
      </w:tblGrid>
      <w:tr w:rsidR="00A809B0" w:rsidRPr="00A809B0" w14:paraId="1B290F7C" w14:textId="77777777" w:rsidTr="00B754B4">
        <w:trPr>
          <w:trHeight w:val="499"/>
        </w:trPr>
        <w:tc>
          <w:tcPr>
            <w:tcW w:w="1216" w:type="dxa"/>
            <w:vMerge w:val="restart"/>
            <w:tcBorders>
              <w:top w:val="single" w:sz="12" w:space="0" w:color="auto"/>
              <w:left w:val="single" w:sz="12" w:space="0" w:color="auto"/>
              <w:bottom w:val="single" w:sz="4" w:space="0" w:color="000000"/>
              <w:right w:val="single" w:sz="12" w:space="0" w:color="auto"/>
            </w:tcBorders>
            <w:shd w:val="clear" w:color="auto" w:fill="FFFFFF" w:themeFill="background1"/>
            <w:noWrap/>
            <w:vAlign w:val="bottom"/>
            <w:hideMark/>
          </w:tcPr>
          <w:p w14:paraId="65706968"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 </w:t>
            </w:r>
          </w:p>
        </w:tc>
        <w:tc>
          <w:tcPr>
            <w:tcW w:w="2520" w:type="dxa"/>
            <w:gridSpan w:val="2"/>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2488B9DD"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RD_M</w:t>
            </w:r>
          </w:p>
        </w:tc>
        <w:tc>
          <w:tcPr>
            <w:tcW w:w="2638" w:type="dxa"/>
            <w:gridSpan w:val="2"/>
            <w:tcBorders>
              <w:top w:val="single" w:sz="12" w:space="0" w:color="auto"/>
              <w:left w:val="nil"/>
              <w:bottom w:val="single" w:sz="4" w:space="0" w:color="auto"/>
              <w:right w:val="single" w:sz="4" w:space="0" w:color="auto"/>
            </w:tcBorders>
            <w:shd w:val="clear" w:color="auto" w:fill="FFFFFF" w:themeFill="background1"/>
            <w:noWrap/>
            <w:vAlign w:val="center"/>
            <w:hideMark/>
          </w:tcPr>
          <w:p w14:paraId="2C4F0929"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RD_S</w:t>
            </w:r>
          </w:p>
        </w:tc>
        <w:tc>
          <w:tcPr>
            <w:tcW w:w="2688" w:type="dxa"/>
            <w:gridSpan w:val="2"/>
            <w:tcBorders>
              <w:top w:val="single" w:sz="12" w:space="0" w:color="auto"/>
              <w:left w:val="nil"/>
              <w:bottom w:val="single" w:sz="4" w:space="0" w:color="auto"/>
              <w:right w:val="single" w:sz="12" w:space="0" w:color="auto"/>
            </w:tcBorders>
            <w:shd w:val="clear" w:color="auto" w:fill="FFFFFF" w:themeFill="background1"/>
            <w:noWrap/>
            <w:vAlign w:val="center"/>
            <w:hideMark/>
          </w:tcPr>
          <w:p w14:paraId="6F1F345F"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RD_V</w:t>
            </w:r>
          </w:p>
        </w:tc>
      </w:tr>
      <w:tr w:rsidR="00A809B0" w:rsidRPr="00A809B0" w14:paraId="64E7DA25" w14:textId="77777777" w:rsidTr="00B754B4">
        <w:trPr>
          <w:trHeight w:val="499"/>
        </w:trPr>
        <w:tc>
          <w:tcPr>
            <w:tcW w:w="1216" w:type="dxa"/>
            <w:vMerge/>
            <w:tcBorders>
              <w:top w:val="single" w:sz="4" w:space="0" w:color="auto"/>
              <w:left w:val="single" w:sz="12" w:space="0" w:color="auto"/>
              <w:bottom w:val="single" w:sz="12" w:space="0" w:color="auto"/>
              <w:right w:val="single" w:sz="12" w:space="0" w:color="auto"/>
            </w:tcBorders>
            <w:shd w:val="clear" w:color="auto" w:fill="FFFFFF" w:themeFill="background1"/>
            <w:vAlign w:val="center"/>
            <w:hideMark/>
          </w:tcPr>
          <w:p w14:paraId="1143BBFA" w14:textId="77777777" w:rsidR="00A809B0" w:rsidRPr="00207C11" w:rsidRDefault="00A809B0" w:rsidP="00A809B0">
            <w:pPr>
              <w:spacing w:after="0" w:line="240" w:lineRule="auto"/>
              <w:rPr>
                <w:rFonts w:ascii="Calibri" w:eastAsia="Times New Roman" w:hAnsi="Calibri" w:cs="Times New Roman"/>
                <w:color w:val="000000"/>
                <w:sz w:val="20"/>
                <w:szCs w:val="20"/>
                <w:lang w:eastAsia="sk-SK"/>
              </w:rPr>
            </w:pPr>
          </w:p>
        </w:tc>
        <w:tc>
          <w:tcPr>
            <w:tcW w:w="1300"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6E8F1493"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w:t>
            </w:r>
            <w:r w:rsidRPr="00207C11">
              <w:rPr>
                <w:rFonts w:ascii="Calibri" w:eastAsia="Times New Roman" w:hAnsi="Calibri" w:cs="Times New Roman"/>
                <w:color w:val="000000"/>
                <w:sz w:val="20"/>
                <w:szCs w:val="20"/>
                <w:vertAlign w:val="superscript"/>
                <w:lang w:eastAsia="sk-SK"/>
              </w:rPr>
              <w:t>2</w:t>
            </w:r>
            <w:r w:rsidRPr="00207C11">
              <w:rPr>
                <w:rFonts w:ascii="Calibri" w:eastAsia="Times New Roman" w:hAnsi="Calibri" w:cs="Times New Roman"/>
                <w:color w:val="000000"/>
                <w:sz w:val="20"/>
                <w:szCs w:val="20"/>
                <w:lang w:eastAsia="sk-SK"/>
              </w:rPr>
              <w:t>.a)]</w:t>
            </w:r>
          </w:p>
        </w:tc>
        <w:tc>
          <w:tcPr>
            <w:tcW w:w="1220" w:type="dxa"/>
            <w:tcBorders>
              <w:top w:val="nil"/>
              <w:left w:val="nil"/>
              <w:bottom w:val="single" w:sz="12" w:space="0" w:color="auto"/>
              <w:right w:val="single" w:sz="4" w:space="0" w:color="auto"/>
            </w:tcBorders>
            <w:shd w:val="clear" w:color="auto" w:fill="FFFFFF" w:themeFill="background1"/>
            <w:noWrap/>
            <w:vAlign w:val="center"/>
            <w:hideMark/>
          </w:tcPr>
          <w:p w14:paraId="0215326F" w14:textId="7BA4B6A0" w:rsidR="00A809B0" w:rsidRPr="00207C11" w:rsidRDefault="00207C11"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39" w:type="dxa"/>
            <w:tcBorders>
              <w:top w:val="nil"/>
              <w:left w:val="nil"/>
              <w:bottom w:val="single" w:sz="12" w:space="0" w:color="auto"/>
              <w:right w:val="single" w:sz="4" w:space="0" w:color="auto"/>
            </w:tcBorders>
            <w:shd w:val="clear" w:color="auto" w:fill="FFFFFF" w:themeFill="background1"/>
            <w:noWrap/>
            <w:vAlign w:val="center"/>
            <w:hideMark/>
          </w:tcPr>
          <w:p w14:paraId="023C7683"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[kWh/(m2.a)]</w:t>
            </w:r>
          </w:p>
        </w:tc>
        <w:tc>
          <w:tcPr>
            <w:tcW w:w="1299" w:type="dxa"/>
            <w:tcBorders>
              <w:top w:val="nil"/>
              <w:left w:val="nil"/>
              <w:bottom w:val="single" w:sz="12" w:space="0" w:color="auto"/>
              <w:right w:val="single" w:sz="4" w:space="0" w:color="auto"/>
            </w:tcBorders>
            <w:shd w:val="clear" w:color="auto" w:fill="FFFFFF" w:themeFill="background1"/>
            <w:noWrap/>
            <w:vAlign w:val="center"/>
            <w:hideMark/>
          </w:tcPr>
          <w:p w14:paraId="649B3D2E" w14:textId="5FC2C9FD" w:rsidR="00A809B0" w:rsidRPr="00207C11" w:rsidRDefault="00207C11"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467" w:type="dxa"/>
            <w:tcBorders>
              <w:top w:val="nil"/>
              <w:left w:val="nil"/>
              <w:bottom w:val="single" w:sz="12" w:space="0" w:color="auto"/>
              <w:right w:val="single" w:sz="4" w:space="0" w:color="auto"/>
            </w:tcBorders>
            <w:shd w:val="clear" w:color="auto" w:fill="FFFFFF" w:themeFill="background1"/>
            <w:noWrap/>
            <w:vAlign w:val="center"/>
            <w:hideMark/>
          </w:tcPr>
          <w:p w14:paraId="32870A63"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[kWh/(m2.a)]</w:t>
            </w:r>
          </w:p>
        </w:tc>
        <w:tc>
          <w:tcPr>
            <w:tcW w:w="1221" w:type="dxa"/>
            <w:tcBorders>
              <w:top w:val="nil"/>
              <w:left w:val="nil"/>
              <w:bottom w:val="single" w:sz="12" w:space="0" w:color="auto"/>
              <w:right w:val="single" w:sz="12" w:space="0" w:color="auto"/>
            </w:tcBorders>
            <w:shd w:val="clear" w:color="auto" w:fill="FFFFFF" w:themeFill="background1"/>
            <w:noWrap/>
            <w:vAlign w:val="center"/>
            <w:hideMark/>
          </w:tcPr>
          <w:p w14:paraId="01A653C2" w14:textId="509BD8B3" w:rsidR="00A809B0" w:rsidRPr="00207C11" w:rsidRDefault="00207C11"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r>
      <w:tr w:rsidR="00A809B0" w:rsidRPr="00A809B0" w14:paraId="6B6B2EB0" w14:textId="77777777" w:rsidTr="00B754B4">
        <w:trPr>
          <w:trHeight w:val="499"/>
        </w:trPr>
        <w:tc>
          <w:tcPr>
            <w:tcW w:w="1216"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2DA89EC7" w14:textId="77777777" w:rsidR="00A809B0" w:rsidRPr="00207C11" w:rsidRDefault="00A809B0" w:rsidP="00A809B0">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RD_O1</w:t>
            </w:r>
          </w:p>
        </w:tc>
        <w:tc>
          <w:tcPr>
            <w:tcW w:w="1300" w:type="dxa"/>
            <w:tcBorders>
              <w:top w:val="single" w:sz="12" w:space="0" w:color="auto"/>
              <w:left w:val="single" w:sz="12" w:space="0" w:color="auto"/>
              <w:bottom w:val="single" w:sz="4" w:space="0" w:color="auto"/>
              <w:right w:val="nil"/>
            </w:tcBorders>
            <w:shd w:val="clear" w:color="auto" w:fill="FFFFFF" w:themeFill="background1"/>
            <w:noWrap/>
            <w:vAlign w:val="center"/>
            <w:hideMark/>
          </w:tcPr>
          <w:p w14:paraId="38DFF55C" w14:textId="77777777" w:rsidR="00A809B0" w:rsidRPr="00207C11" w:rsidRDefault="00A809B0" w:rsidP="00A809B0">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82,9</w:t>
            </w:r>
          </w:p>
        </w:tc>
        <w:tc>
          <w:tcPr>
            <w:tcW w:w="1220" w:type="dxa"/>
            <w:tcBorders>
              <w:top w:val="single" w:sz="12" w:space="0" w:color="auto"/>
              <w:left w:val="single" w:sz="8" w:space="0" w:color="auto"/>
              <w:bottom w:val="single" w:sz="4" w:space="0" w:color="auto"/>
              <w:right w:val="single" w:sz="8" w:space="0" w:color="auto"/>
            </w:tcBorders>
            <w:shd w:val="clear" w:color="auto" w:fill="FFFFFF" w:themeFill="background1"/>
            <w:noWrap/>
            <w:vAlign w:val="center"/>
            <w:hideMark/>
          </w:tcPr>
          <w:p w14:paraId="02D4A5B0"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10008,7</w:t>
            </w:r>
          </w:p>
        </w:tc>
        <w:tc>
          <w:tcPr>
            <w:tcW w:w="1339" w:type="dxa"/>
            <w:tcBorders>
              <w:top w:val="single" w:sz="12" w:space="0" w:color="auto"/>
              <w:left w:val="nil"/>
              <w:bottom w:val="single" w:sz="4" w:space="0" w:color="auto"/>
              <w:right w:val="nil"/>
            </w:tcBorders>
            <w:shd w:val="clear" w:color="auto" w:fill="FFFFFF" w:themeFill="background1"/>
            <w:noWrap/>
            <w:vAlign w:val="center"/>
            <w:hideMark/>
          </w:tcPr>
          <w:p w14:paraId="32E50D8E"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69,0</w:t>
            </w:r>
          </w:p>
        </w:tc>
        <w:tc>
          <w:tcPr>
            <w:tcW w:w="1299" w:type="dxa"/>
            <w:tcBorders>
              <w:top w:val="single" w:sz="12" w:space="0" w:color="auto"/>
              <w:left w:val="single" w:sz="8" w:space="0" w:color="auto"/>
              <w:bottom w:val="single" w:sz="4" w:space="0" w:color="auto"/>
              <w:right w:val="single" w:sz="8" w:space="0" w:color="auto"/>
            </w:tcBorders>
            <w:shd w:val="clear" w:color="auto" w:fill="FFFFFF" w:themeFill="background1"/>
            <w:noWrap/>
            <w:vAlign w:val="center"/>
            <w:hideMark/>
          </w:tcPr>
          <w:p w14:paraId="1845D868"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11090,5</w:t>
            </w:r>
          </w:p>
        </w:tc>
        <w:tc>
          <w:tcPr>
            <w:tcW w:w="1467" w:type="dxa"/>
            <w:tcBorders>
              <w:top w:val="single" w:sz="12" w:space="0" w:color="auto"/>
              <w:left w:val="nil"/>
              <w:bottom w:val="single" w:sz="4" w:space="0" w:color="auto"/>
              <w:right w:val="nil"/>
            </w:tcBorders>
            <w:shd w:val="clear" w:color="auto" w:fill="FFFFFF" w:themeFill="background1"/>
            <w:noWrap/>
            <w:vAlign w:val="center"/>
            <w:hideMark/>
          </w:tcPr>
          <w:p w14:paraId="4A8BD3C4"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61,7</w:t>
            </w:r>
          </w:p>
        </w:tc>
        <w:tc>
          <w:tcPr>
            <w:tcW w:w="1221" w:type="dxa"/>
            <w:tcBorders>
              <w:top w:val="single" w:sz="12" w:space="0" w:color="auto"/>
              <w:left w:val="single" w:sz="8" w:space="0" w:color="auto"/>
              <w:bottom w:val="single" w:sz="4" w:space="0" w:color="auto"/>
              <w:right w:val="single" w:sz="12" w:space="0" w:color="auto"/>
            </w:tcBorders>
            <w:shd w:val="clear" w:color="auto" w:fill="FFFFFF" w:themeFill="background1"/>
            <w:noWrap/>
            <w:vAlign w:val="center"/>
            <w:hideMark/>
          </w:tcPr>
          <w:p w14:paraId="7147D2B4"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15726,0</w:t>
            </w:r>
          </w:p>
        </w:tc>
      </w:tr>
      <w:tr w:rsidR="00A809B0" w:rsidRPr="00A809B0" w14:paraId="568325DB" w14:textId="77777777" w:rsidTr="00B754B4">
        <w:trPr>
          <w:trHeight w:val="499"/>
        </w:trPr>
        <w:tc>
          <w:tcPr>
            <w:tcW w:w="1216" w:type="dxa"/>
            <w:tcBorders>
              <w:top w:val="nil"/>
              <w:left w:val="single" w:sz="12" w:space="0" w:color="auto"/>
              <w:bottom w:val="single" w:sz="4" w:space="0" w:color="auto"/>
              <w:right w:val="single" w:sz="12" w:space="0" w:color="auto"/>
            </w:tcBorders>
            <w:shd w:val="clear" w:color="auto" w:fill="FFFFFF" w:themeFill="background1"/>
            <w:vAlign w:val="center"/>
            <w:hideMark/>
          </w:tcPr>
          <w:p w14:paraId="09EAF3FA" w14:textId="77777777" w:rsidR="00A809B0" w:rsidRPr="00207C11" w:rsidRDefault="00A809B0" w:rsidP="00A809B0">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RD_O2</w:t>
            </w:r>
          </w:p>
        </w:tc>
        <w:tc>
          <w:tcPr>
            <w:tcW w:w="1300" w:type="dxa"/>
            <w:tcBorders>
              <w:top w:val="nil"/>
              <w:left w:val="single" w:sz="12" w:space="0" w:color="auto"/>
              <w:bottom w:val="single" w:sz="4" w:space="0" w:color="auto"/>
              <w:right w:val="nil"/>
            </w:tcBorders>
            <w:shd w:val="clear" w:color="auto" w:fill="FFFFFF" w:themeFill="background1"/>
            <w:noWrap/>
            <w:vAlign w:val="center"/>
            <w:hideMark/>
          </w:tcPr>
          <w:p w14:paraId="159E6FCD"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82,9</w:t>
            </w:r>
          </w:p>
        </w:tc>
        <w:tc>
          <w:tcPr>
            <w:tcW w:w="1220"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7A33C4DD"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3282,8</w:t>
            </w:r>
          </w:p>
        </w:tc>
        <w:tc>
          <w:tcPr>
            <w:tcW w:w="1339" w:type="dxa"/>
            <w:tcBorders>
              <w:top w:val="nil"/>
              <w:left w:val="nil"/>
              <w:bottom w:val="single" w:sz="4" w:space="0" w:color="auto"/>
              <w:right w:val="nil"/>
            </w:tcBorders>
            <w:shd w:val="clear" w:color="auto" w:fill="FFFFFF" w:themeFill="background1"/>
            <w:noWrap/>
            <w:vAlign w:val="center"/>
            <w:hideMark/>
          </w:tcPr>
          <w:p w14:paraId="2F1457BC"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69,0</w:t>
            </w:r>
          </w:p>
        </w:tc>
        <w:tc>
          <w:tcPr>
            <w:tcW w:w="1299"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A768E1B"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3637,7</w:t>
            </w:r>
          </w:p>
        </w:tc>
        <w:tc>
          <w:tcPr>
            <w:tcW w:w="1467" w:type="dxa"/>
            <w:tcBorders>
              <w:top w:val="nil"/>
              <w:left w:val="nil"/>
              <w:bottom w:val="single" w:sz="4" w:space="0" w:color="auto"/>
              <w:right w:val="nil"/>
            </w:tcBorders>
            <w:shd w:val="clear" w:color="auto" w:fill="FFFFFF" w:themeFill="background1"/>
            <w:noWrap/>
            <w:vAlign w:val="center"/>
            <w:hideMark/>
          </w:tcPr>
          <w:p w14:paraId="71366E3C"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61,7</w:t>
            </w:r>
          </w:p>
        </w:tc>
        <w:tc>
          <w:tcPr>
            <w:tcW w:w="1221" w:type="dxa"/>
            <w:tcBorders>
              <w:top w:val="nil"/>
              <w:left w:val="single" w:sz="8" w:space="0" w:color="auto"/>
              <w:bottom w:val="single" w:sz="4" w:space="0" w:color="auto"/>
              <w:right w:val="single" w:sz="12" w:space="0" w:color="auto"/>
            </w:tcBorders>
            <w:shd w:val="clear" w:color="auto" w:fill="FFFFFF" w:themeFill="background1"/>
            <w:noWrap/>
            <w:vAlign w:val="center"/>
            <w:hideMark/>
          </w:tcPr>
          <w:p w14:paraId="502FD820"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5158,1</w:t>
            </w:r>
          </w:p>
        </w:tc>
      </w:tr>
      <w:tr w:rsidR="00A809B0" w:rsidRPr="00A809B0" w14:paraId="1C8E9840" w14:textId="77777777" w:rsidTr="00B754B4">
        <w:trPr>
          <w:trHeight w:val="499"/>
        </w:trPr>
        <w:tc>
          <w:tcPr>
            <w:tcW w:w="1216" w:type="dxa"/>
            <w:tcBorders>
              <w:top w:val="nil"/>
              <w:left w:val="single" w:sz="12" w:space="0" w:color="auto"/>
              <w:bottom w:val="single" w:sz="12" w:space="0" w:color="auto"/>
              <w:right w:val="single" w:sz="12" w:space="0" w:color="auto"/>
            </w:tcBorders>
            <w:shd w:val="clear" w:color="auto" w:fill="FFFFFF" w:themeFill="background1"/>
            <w:vAlign w:val="center"/>
            <w:hideMark/>
          </w:tcPr>
          <w:p w14:paraId="0050216C" w14:textId="77777777" w:rsidR="00A809B0" w:rsidRPr="00207C11" w:rsidRDefault="00A809B0" w:rsidP="00A809B0">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RD_O3</w:t>
            </w:r>
          </w:p>
        </w:tc>
        <w:tc>
          <w:tcPr>
            <w:tcW w:w="1300" w:type="dxa"/>
            <w:tcBorders>
              <w:top w:val="nil"/>
              <w:left w:val="single" w:sz="12" w:space="0" w:color="auto"/>
              <w:bottom w:val="single" w:sz="12" w:space="0" w:color="auto"/>
              <w:right w:val="nil"/>
            </w:tcBorders>
            <w:shd w:val="clear" w:color="auto" w:fill="FFFFFF" w:themeFill="background1"/>
            <w:noWrap/>
            <w:vAlign w:val="center"/>
            <w:hideMark/>
          </w:tcPr>
          <w:p w14:paraId="1D1EDE10"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64,8</w:t>
            </w:r>
          </w:p>
        </w:tc>
        <w:tc>
          <w:tcPr>
            <w:tcW w:w="1220" w:type="dxa"/>
            <w:tcBorders>
              <w:top w:val="nil"/>
              <w:left w:val="single" w:sz="8" w:space="0" w:color="auto"/>
              <w:bottom w:val="single" w:sz="12" w:space="0" w:color="auto"/>
              <w:right w:val="single" w:sz="8" w:space="0" w:color="auto"/>
            </w:tcBorders>
            <w:shd w:val="clear" w:color="auto" w:fill="FFFFFF" w:themeFill="background1"/>
            <w:noWrap/>
            <w:vAlign w:val="center"/>
            <w:hideMark/>
          </w:tcPr>
          <w:p w14:paraId="4439DDA3"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2566,1</w:t>
            </w:r>
          </w:p>
        </w:tc>
        <w:tc>
          <w:tcPr>
            <w:tcW w:w="1339" w:type="dxa"/>
            <w:tcBorders>
              <w:top w:val="nil"/>
              <w:left w:val="nil"/>
              <w:bottom w:val="single" w:sz="12" w:space="0" w:color="auto"/>
              <w:right w:val="nil"/>
            </w:tcBorders>
            <w:shd w:val="clear" w:color="auto" w:fill="FFFFFF" w:themeFill="background1"/>
            <w:noWrap/>
            <w:vAlign w:val="center"/>
            <w:hideMark/>
          </w:tcPr>
          <w:p w14:paraId="7AF88590"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55,2</w:t>
            </w:r>
          </w:p>
        </w:tc>
        <w:tc>
          <w:tcPr>
            <w:tcW w:w="1299" w:type="dxa"/>
            <w:tcBorders>
              <w:top w:val="nil"/>
              <w:left w:val="single" w:sz="8" w:space="0" w:color="auto"/>
              <w:bottom w:val="single" w:sz="12" w:space="0" w:color="auto"/>
              <w:right w:val="single" w:sz="8" w:space="0" w:color="auto"/>
            </w:tcBorders>
            <w:shd w:val="clear" w:color="auto" w:fill="FFFFFF" w:themeFill="background1"/>
            <w:noWrap/>
            <w:vAlign w:val="center"/>
            <w:hideMark/>
          </w:tcPr>
          <w:p w14:paraId="2B28CCDD"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2910,1</w:t>
            </w:r>
          </w:p>
        </w:tc>
        <w:tc>
          <w:tcPr>
            <w:tcW w:w="1467" w:type="dxa"/>
            <w:tcBorders>
              <w:top w:val="nil"/>
              <w:left w:val="nil"/>
              <w:bottom w:val="single" w:sz="12" w:space="0" w:color="auto"/>
              <w:right w:val="nil"/>
            </w:tcBorders>
            <w:shd w:val="clear" w:color="auto" w:fill="FFFFFF" w:themeFill="background1"/>
            <w:noWrap/>
            <w:vAlign w:val="center"/>
            <w:hideMark/>
          </w:tcPr>
          <w:p w14:paraId="57481552" w14:textId="77777777" w:rsidR="00A809B0" w:rsidRPr="00207C11" w:rsidRDefault="00A809B0" w:rsidP="00A809B0">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38,5</w:t>
            </w:r>
          </w:p>
        </w:tc>
        <w:tc>
          <w:tcPr>
            <w:tcW w:w="1221" w:type="dxa"/>
            <w:tcBorders>
              <w:top w:val="nil"/>
              <w:left w:val="single" w:sz="8" w:space="0" w:color="auto"/>
              <w:bottom w:val="single" w:sz="12" w:space="0" w:color="auto"/>
              <w:right w:val="single" w:sz="12" w:space="0" w:color="auto"/>
            </w:tcBorders>
            <w:shd w:val="clear" w:color="auto" w:fill="FFFFFF" w:themeFill="background1"/>
            <w:noWrap/>
            <w:vAlign w:val="center"/>
            <w:hideMark/>
          </w:tcPr>
          <w:p w14:paraId="0366DF3B" w14:textId="77777777" w:rsidR="00A809B0" w:rsidRPr="00207C11" w:rsidRDefault="00A809B0" w:rsidP="00A809B0">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3218,6</w:t>
            </w:r>
          </w:p>
        </w:tc>
      </w:tr>
    </w:tbl>
    <w:p w14:paraId="6C1D8E9C" w14:textId="677F952C" w:rsidR="004E1ED8" w:rsidRDefault="004E1ED8" w:rsidP="004E1ED8">
      <w:pPr>
        <w:spacing w:before="120" w:after="120"/>
      </w:pPr>
    </w:p>
    <w:p w14:paraId="73777F50" w14:textId="0CCCADC7" w:rsidR="00391A78" w:rsidRDefault="00391A78" w:rsidP="00254997">
      <w:pPr>
        <w:pStyle w:val="Nadpis2"/>
        <w:numPr>
          <w:ilvl w:val="0"/>
          <w:numId w:val="0"/>
        </w:numPr>
      </w:pPr>
      <w:bookmarkStart w:id="14" w:name="_Toc62576773"/>
      <w:r>
        <w:t>4.2 Potreba energie na prípravu TUV</w:t>
      </w:r>
      <w:bookmarkEnd w:id="14"/>
    </w:p>
    <w:p w14:paraId="23336BF5" w14:textId="60F82B11" w:rsidR="00B754B4" w:rsidRPr="00B754B4" w:rsidRDefault="00B754B4" w:rsidP="00B754B4">
      <w:r w:rsidRPr="00D36BC4">
        <w:t>Potrebu energie na prípravu teplej úžitkovej vody je určená podľa metodiky [</w:t>
      </w:r>
      <w:r w:rsidR="005B4055">
        <w:t>7</w:t>
      </w:r>
      <w:r w:rsidRPr="00D36BC4">
        <w:t xml:space="preserve">] a vypočítaná pre kombináciu referenčných rodinných domov. </w:t>
      </w:r>
    </w:p>
    <w:p w14:paraId="7BC0F7C8" w14:textId="70D5F89F" w:rsidR="007E4F8E" w:rsidRPr="00445849" w:rsidRDefault="0060033C" w:rsidP="0060033C">
      <w:pPr>
        <w:spacing w:before="120" w:after="120"/>
        <w:rPr>
          <w:i/>
          <w:iCs/>
        </w:rPr>
      </w:pPr>
      <w:r w:rsidRPr="00445849">
        <w:rPr>
          <w:i/>
          <w:iCs/>
        </w:rPr>
        <w:t>Tab</w:t>
      </w:r>
      <w:r w:rsidR="00445849" w:rsidRPr="00445849">
        <w:rPr>
          <w:i/>
          <w:iCs/>
        </w:rPr>
        <w:t>.</w:t>
      </w:r>
      <w:r w:rsidRPr="00445849">
        <w:rPr>
          <w:i/>
          <w:iCs/>
        </w:rPr>
        <w:t xml:space="preserve"> </w:t>
      </w:r>
      <w:r w:rsidR="009D46B3">
        <w:rPr>
          <w:i/>
          <w:iCs/>
        </w:rPr>
        <w:t>7</w:t>
      </w:r>
      <w:r w:rsidR="00445849" w:rsidRPr="00445849">
        <w:rPr>
          <w:i/>
          <w:iCs/>
        </w:rPr>
        <w:t>6</w:t>
      </w:r>
      <w:r w:rsidRPr="00445849">
        <w:rPr>
          <w:i/>
          <w:iCs/>
        </w:rPr>
        <w:t>:</w:t>
      </w:r>
      <w:r w:rsidRPr="00445849">
        <w:rPr>
          <w:b/>
          <w:bCs/>
          <w:i/>
          <w:iCs/>
        </w:rPr>
        <w:t xml:space="preserve"> </w:t>
      </w:r>
      <w:r w:rsidRPr="00445849">
        <w:rPr>
          <w:i/>
          <w:iCs/>
        </w:rPr>
        <w:t>Potreba energie na prípravu TUV (obnovený stav)</w:t>
      </w:r>
    </w:p>
    <w:tbl>
      <w:tblPr>
        <w:tblW w:w="8926" w:type="dxa"/>
        <w:tblCellMar>
          <w:left w:w="70" w:type="dxa"/>
          <w:right w:w="70" w:type="dxa"/>
        </w:tblCellMar>
        <w:tblLook w:val="04A0" w:firstRow="1" w:lastRow="0" w:firstColumn="1" w:lastColumn="0" w:noHBand="0" w:noVBand="1"/>
      </w:tblPr>
      <w:tblGrid>
        <w:gridCol w:w="1259"/>
        <w:gridCol w:w="1313"/>
        <w:gridCol w:w="1261"/>
        <w:gridCol w:w="1353"/>
        <w:gridCol w:w="1188"/>
        <w:gridCol w:w="1276"/>
        <w:gridCol w:w="1276"/>
      </w:tblGrid>
      <w:tr w:rsidR="0060033C" w:rsidRPr="0060033C" w14:paraId="51E81CD2" w14:textId="77777777" w:rsidTr="00B754B4">
        <w:trPr>
          <w:trHeight w:val="499"/>
        </w:trPr>
        <w:tc>
          <w:tcPr>
            <w:tcW w:w="1259" w:type="dxa"/>
            <w:vMerge w:val="restart"/>
            <w:tcBorders>
              <w:top w:val="single" w:sz="12" w:space="0" w:color="auto"/>
              <w:left w:val="single" w:sz="12" w:space="0" w:color="auto"/>
              <w:bottom w:val="single" w:sz="4" w:space="0" w:color="000000"/>
              <w:right w:val="single" w:sz="12" w:space="0" w:color="auto"/>
            </w:tcBorders>
            <w:shd w:val="clear" w:color="auto" w:fill="FFFFFF" w:themeFill="background1"/>
            <w:noWrap/>
            <w:vAlign w:val="bottom"/>
            <w:hideMark/>
          </w:tcPr>
          <w:p w14:paraId="76845FA0"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 </w:t>
            </w:r>
          </w:p>
        </w:tc>
        <w:tc>
          <w:tcPr>
            <w:tcW w:w="2574" w:type="dxa"/>
            <w:gridSpan w:val="2"/>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4F557CCD"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RD_M</w:t>
            </w:r>
          </w:p>
        </w:tc>
        <w:tc>
          <w:tcPr>
            <w:tcW w:w="2541" w:type="dxa"/>
            <w:gridSpan w:val="2"/>
            <w:tcBorders>
              <w:top w:val="single" w:sz="12" w:space="0" w:color="auto"/>
              <w:left w:val="nil"/>
              <w:bottom w:val="single" w:sz="4" w:space="0" w:color="auto"/>
              <w:right w:val="single" w:sz="4" w:space="0" w:color="auto"/>
            </w:tcBorders>
            <w:shd w:val="clear" w:color="auto" w:fill="FFFFFF" w:themeFill="background1"/>
            <w:noWrap/>
            <w:vAlign w:val="center"/>
            <w:hideMark/>
          </w:tcPr>
          <w:p w14:paraId="1DA1B218"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RD_S</w:t>
            </w:r>
          </w:p>
        </w:tc>
        <w:tc>
          <w:tcPr>
            <w:tcW w:w="2552" w:type="dxa"/>
            <w:gridSpan w:val="2"/>
            <w:tcBorders>
              <w:top w:val="single" w:sz="12" w:space="0" w:color="auto"/>
              <w:left w:val="nil"/>
              <w:bottom w:val="single" w:sz="4" w:space="0" w:color="auto"/>
              <w:right w:val="single" w:sz="12" w:space="0" w:color="auto"/>
            </w:tcBorders>
            <w:shd w:val="clear" w:color="auto" w:fill="FFFFFF" w:themeFill="background1"/>
            <w:noWrap/>
            <w:vAlign w:val="center"/>
            <w:hideMark/>
          </w:tcPr>
          <w:p w14:paraId="5F3A1297"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RD_V</w:t>
            </w:r>
          </w:p>
        </w:tc>
      </w:tr>
      <w:tr w:rsidR="0060033C" w:rsidRPr="0060033C" w14:paraId="09A6F346" w14:textId="77777777" w:rsidTr="00B754B4">
        <w:trPr>
          <w:trHeight w:val="499"/>
        </w:trPr>
        <w:tc>
          <w:tcPr>
            <w:tcW w:w="1259" w:type="dxa"/>
            <w:vMerge/>
            <w:tcBorders>
              <w:top w:val="single" w:sz="4" w:space="0" w:color="auto"/>
              <w:left w:val="single" w:sz="12" w:space="0" w:color="auto"/>
              <w:bottom w:val="single" w:sz="12" w:space="0" w:color="auto"/>
              <w:right w:val="single" w:sz="12" w:space="0" w:color="auto"/>
            </w:tcBorders>
            <w:shd w:val="clear" w:color="auto" w:fill="FFFFFF" w:themeFill="background1"/>
            <w:vAlign w:val="center"/>
            <w:hideMark/>
          </w:tcPr>
          <w:p w14:paraId="50A688B1" w14:textId="77777777" w:rsidR="0060033C" w:rsidRPr="00207C11" w:rsidRDefault="0060033C" w:rsidP="0060033C">
            <w:pPr>
              <w:spacing w:after="0" w:line="240" w:lineRule="auto"/>
              <w:rPr>
                <w:rFonts w:ascii="Calibri" w:eastAsia="Times New Roman" w:hAnsi="Calibri" w:cs="Times New Roman"/>
                <w:color w:val="000000"/>
                <w:sz w:val="20"/>
                <w:szCs w:val="20"/>
                <w:lang w:eastAsia="sk-SK"/>
              </w:rPr>
            </w:pPr>
          </w:p>
        </w:tc>
        <w:tc>
          <w:tcPr>
            <w:tcW w:w="1313"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1FD6D76D" w14:textId="77777777" w:rsidR="0060033C" w:rsidRPr="00207C11" w:rsidRDefault="0060033C"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[kWh/(m</w:t>
            </w:r>
            <w:r w:rsidRPr="00207C11">
              <w:rPr>
                <w:rFonts w:ascii="Calibri" w:eastAsia="Times New Roman" w:hAnsi="Calibri" w:cs="Times New Roman"/>
                <w:sz w:val="20"/>
                <w:szCs w:val="20"/>
                <w:vertAlign w:val="superscript"/>
                <w:lang w:eastAsia="sk-SK"/>
              </w:rPr>
              <w:t>2</w:t>
            </w:r>
            <w:r w:rsidRPr="00207C11">
              <w:rPr>
                <w:rFonts w:ascii="Calibri" w:eastAsia="Times New Roman" w:hAnsi="Calibri" w:cs="Times New Roman"/>
                <w:sz w:val="20"/>
                <w:szCs w:val="20"/>
                <w:lang w:eastAsia="sk-SK"/>
              </w:rPr>
              <w:t>.a)]</w:t>
            </w:r>
          </w:p>
        </w:tc>
        <w:tc>
          <w:tcPr>
            <w:tcW w:w="1261" w:type="dxa"/>
            <w:tcBorders>
              <w:top w:val="nil"/>
              <w:left w:val="nil"/>
              <w:bottom w:val="single" w:sz="12" w:space="0" w:color="auto"/>
              <w:right w:val="single" w:sz="4" w:space="0" w:color="auto"/>
            </w:tcBorders>
            <w:shd w:val="clear" w:color="auto" w:fill="FFFFFF" w:themeFill="background1"/>
            <w:noWrap/>
            <w:vAlign w:val="center"/>
            <w:hideMark/>
          </w:tcPr>
          <w:p w14:paraId="1013445F" w14:textId="6B837536" w:rsidR="0060033C" w:rsidRPr="00207C11" w:rsidRDefault="00207C11"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color w:val="000000"/>
                <w:sz w:val="20"/>
                <w:szCs w:val="20"/>
                <w:lang w:eastAsia="sk-SK"/>
              </w:rPr>
              <w:t>[kWh/a]</w:t>
            </w:r>
          </w:p>
        </w:tc>
        <w:tc>
          <w:tcPr>
            <w:tcW w:w="1353" w:type="dxa"/>
            <w:tcBorders>
              <w:top w:val="nil"/>
              <w:left w:val="nil"/>
              <w:bottom w:val="single" w:sz="12" w:space="0" w:color="auto"/>
              <w:right w:val="single" w:sz="4" w:space="0" w:color="auto"/>
            </w:tcBorders>
            <w:shd w:val="clear" w:color="auto" w:fill="FFFFFF" w:themeFill="background1"/>
            <w:noWrap/>
            <w:vAlign w:val="center"/>
            <w:hideMark/>
          </w:tcPr>
          <w:p w14:paraId="4E32A6D6" w14:textId="77777777" w:rsidR="0060033C" w:rsidRPr="00207C11" w:rsidRDefault="0060033C"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[kWh/(m2.a)]</w:t>
            </w:r>
          </w:p>
        </w:tc>
        <w:tc>
          <w:tcPr>
            <w:tcW w:w="1188" w:type="dxa"/>
            <w:tcBorders>
              <w:top w:val="nil"/>
              <w:left w:val="nil"/>
              <w:bottom w:val="single" w:sz="12" w:space="0" w:color="auto"/>
              <w:right w:val="single" w:sz="4" w:space="0" w:color="auto"/>
            </w:tcBorders>
            <w:shd w:val="clear" w:color="auto" w:fill="FFFFFF" w:themeFill="background1"/>
            <w:noWrap/>
            <w:vAlign w:val="center"/>
            <w:hideMark/>
          </w:tcPr>
          <w:p w14:paraId="08372DAC" w14:textId="5364DE3A" w:rsidR="0060033C" w:rsidRPr="00207C11" w:rsidRDefault="00207C11"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color w:val="000000"/>
                <w:sz w:val="20"/>
                <w:szCs w:val="20"/>
                <w:lang w:eastAsia="sk-SK"/>
              </w:rPr>
              <w:t>[kWh/a]</w:t>
            </w:r>
          </w:p>
        </w:tc>
        <w:tc>
          <w:tcPr>
            <w:tcW w:w="1276" w:type="dxa"/>
            <w:tcBorders>
              <w:top w:val="nil"/>
              <w:left w:val="nil"/>
              <w:bottom w:val="single" w:sz="12" w:space="0" w:color="auto"/>
              <w:right w:val="single" w:sz="4" w:space="0" w:color="auto"/>
            </w:tcBorders>
            <w:shd w:val="clear" w:color="auto" w:fill="FFFFFF" w:themeFill="background1"/>
            <w:noWrap/>
            <w:vAlign w:val="center"/>
            <w:hideMark/>
          </w:tcPr>
          <w:p w14:paraId="47DFCF5D" w14:textId="77777777" w:rsidR="0060033C" w:rsidRPr="00207C11" w:rsidRDefault="0060033C"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[kWh/(m2.a)]</w:t>
            </w:r>
          </w:p>
        </w:tc>
        <w:tc>
          <w:tcPr>
            <w:tcW w:w="1276" w:type="dxa"/>
            <w:tcBorders>
              <w:top w:val="nil"/>
              <w:left w:val="nil"/>
              <w:bottom w:val="single" w:sz="12" w:space="0" w:color="auto"/>
              <w:right w:val="single" w:sz="12" w:space="0" w:color="auto"/>
            </w:tcBorders>
            <w:shd w:val="clear" w:color="auto" w:fill="FFFFFF" w:themeFill="background1"/>
            <w:noWrap/>
            <w:vAlign w:val="center"/>
            <w:hideMark/>
          </w:tcPr>
          <w:p w14:paraId="7022FF3E" w14:textId="3BF86564" w:rsidR="0060033C" w:rsidRPr="00207C11" w:rsidRDefault="00207C11"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color w:val="000000"/>
                <w:sz w:val="20"/>
                <w:szCs w:val="20"/>
                <w:lang w:eastAsia="sk-SK"/>
              </w:rPr>
              <w:t>[kWh/a]</w:t>
            </w:r>
          </w:p>
        </w:tc>
      </w:tr>
      <w:tr w:rsidR="0060033C" w:rsidRPr="0060033C" w14:paraId="60C7F0C4" w14:textId="77777777" w:rsidTr="00B754B4">
        <w:trPr>
          <w:trHeight w:val="499"/>
        </w:trPr>
        <w:tc>
          <w:tcPr>
            <w:tcW w:w="1259" w:type="dxa"/>
            <w:tcBorders>
              <w:top w:val="single" w:sz="12" w:space="0" w:color="auto"/>
              <w:left w:val="single" w:sz="12" w:space="0" w:color="auto"/>
              <w:bottom w:val="single" w:sz="4" w:space="0" w:color="auto"/>
              <w:right w:val="single" w:sz="12" w:space="0" w:color="auto"/>
            </w:tcBorders>
            <w:shd w:val="clear" w:color="auto" w:fill="FFFFFF" w:themeFill="background1"/>
            <w:vAlign w:val="center"/>
            <w:hideMark/>
          </w:tcPr>
          <w:p w14:paraId="64CF80BF" w14:textId="77777777" w:rsidR="0060033C" w:rsidRPr="00207C11" w:rsidRDefault="0060033C" w:rsidP="0060033C">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RD_O1</w:t>
            </w:r>
          </w:p>
        </w:tc>
        <w:tc>
          <w:tcPr>
            <w:tcW w:w="1313" w:type="dxa"/>
            <w:tcBorders>
              <w:top w:val="single" w:sz="12" w:space="0" w:color="auto"/>
              <w:left w:val="single" w:sz="12" w:space="0" w:color="auto"/>
              <w:bottom w:val="single" w:sz="4" w:space="0" w:color="auto"/>
              <w:right w:val="nil"/>
            </w:tcBorders>
            <w:shd w:val="clear" w:color="auto" w:fill="FFFFFF" w:themeFill="background1"/>
            <w:noWrap/>
            <w:vAlign w:val="center"/>
            <w:hideMark/>
          </w:tcPr>
          <w:p w14:paraId="078B01B2" w14:textId="77777777" w:rsidR="0060033C" w:rsidRPr="00207C11" w:rsidRDefault="0060033C"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24,0</w:t>
            </w:r>
          </w:p>
        </w:tc>
        <w:tc>
          <w:tcPr>
            <w:tcW w:w="1261" w:type="dxa"/>
            <w:tcBorders>
              <w:top w:val="single" w:sz="12" w:space="0" w:color="auto"/>
              <w:left w:val="single" w:sz="8" w:space="0" w:color="auto"/>
              <w:bottom w:val="single" w:sz="4" w:space="0" w:color="auto"/>
              <w:right w:val="single" w:sz="8" w:space="0" w:color="auto"/>
            </w:tcBorders>
            <w:shd w:val="clear" w:color="auto" w:fill="FFFFFF" w:themeFill="background1"/>
            <w:noWrap/>
            <w:vAlign w:val="center"/>
            <w:hideMark/>
          </w:tcPr>
          <w:p w14:paraId="7ACCC920" w14:textId="77777777" w:rsidR="0060033C" w:rsidRPr="00207C11" w:rsidRDefault="0060033C" w:rsidP="0060033C">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2376,0</w:t>
            </w:r>
          </w:p>
        </w:tc>
        <w:tc>
          <w:tcPr>
            <w:tcW w:w="1353" w:type="dxa"/>
            <w:tcBorders>
              <w:top w:val="single" w:sz="12" w:space="0" w:color="auto"/>
              <w:left w:val="single" w:sz="4" w:space="0" w:color="auto"/>
              <w:bottom w:val="single" w:sz="4" w:space="0" w:color="auto"/>
              <w:right w:val="nil"/>
            </w:tcBorders>
            <w:shd w:val="clear" w:color="auto" w:fill="FFFFFF" w:themeFill="background1"/>
            <w:noWrap/>
            <w:vAlign w:val="center"/>
            <w:hideMark/>
          </w:tcPr>
          <w:p w14:paraId="1D4CCB0F" w14:textId="77777777" w:rsidR="0060033C" w:rsidRPr="00207C11" w:rsidRDefault="0060033C"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24,0</w:t>
            </w:r>
          </w:p>
        </w:tc>
        <w:tc>
          <w:tcPr>
            <w:tcW w:w="1188" w:type="dxa"/>
            <w:tcBorders>
              <w:top w:val="single" w:sz="12" w:space="0" w:color="auto"/>
              <w:left w:val="single" w:sz="8" w:space="0" w:color="auto"/>
              <w:bottom w:val="single" w:sz="4" w:space="0" w:color="auto"/>
              <w:right w:val="single" w:sz="8" w:space="0" w:color="auto"/>
            </w:tcBorders>
            <w:shd w:val="clear" w:color="auto" w:fill="FFFFFF" w:themeFill="background1"/>
            <w:noWrap/>
            <w:vAlign w:val="center"/>
            <w:hideMark/>
          </w:tcPr>
          <w:p w14:paraId="2616D0CC" w14:textId="77777777" w:rsidR="0060033C" w:rsidRPr="00207C11" w:rsidRDefault="0060033C" w:rsidP="0060033C">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3163,2</w:t>
            </w:r>
          </w:p>
        </w:tc>
        <w:tc>
          <w:tcPr>
            <w:tcW w:w="1276" w:type="dxa"/>
            <w:tcBorders>
              <w:top w:val="single" w:sz="12" w:space="0" w:color="auto"/>
              <w:left w:val="single" w:sz="4" w:space="0" w:color="auto"/>
              <w:bottom w:val="single" w:sz="4" w:space="0" w:color="auto"/>
              <w:right w:val="nil"/>
            </w:tcBorders>
            <w:shd w:val="clear" w:color="auto" w:fill="FFFFFF" w:themeFill="background1"/>
            <w:noWrap/>
            <w:vAlign w:val="center"/>
            <w:hideMark/>
          </w:tcPr>
          <w:p w14:paraId="5454ED7C" w14:textId="77777777" w:rsidR="0060033C" w:rsidRPr="00207C11" w:rsidRDefault="0060033C" w:rsidP="0060033C">
            <w:pPr>
              <w:spacing w:after="0" w:line="240" w:lineRule="auto"/>
              <w:jc w:val="center"/>
              <w:rPr>
                <w:rFonts w:ascii="Calibri" w:eastAsia="Times New Roman" w:hAnsi="Calibri" w:cs="Times New Roman"/>
                <w:sz w:val="20"/>
                <w:szCs w:val="20"/>
                <w:lang w:eastAsia="sk-SK"/>
              </w:rPr>
            </w:pPr>
            <w:r w:rsidRPr="00207C11">
              <w:rPr>
                <w:rFonts w:ascii="Calibri" w:eastAsia="Times New Roman" w:hAnsi="Calibri" w:cs="Times New Roman"/>
                <w:sz w:val="20"/>
                <w:szCs w:val="20"/>
                <w:lang w:eastAsia="sk-SK"/>
              </w:rPr>
              <w:t>24,0</w:t>
            </w:r>
          </w:p>
        </w:tc>
        <w:tc>
          <w:tcPr>
            <w:tcW w:w="1276" w:type="dxa"/>
            <w:tcBorders>
              <w:top w:val="single" w:sz="12" w:space="0" w:color="auto"/>
              <w:left w:val="single" w:sz="8" w:space="0" w:color="auto"/>
              <w:bottom w:val="single" w:sz="4" w:space="0" w:color="auto"/>
              <w:right w:val="single" w:sz="12" w:space="0" w:color="auto"/>
            </w:tcBorders>
            <w:shd w:val="clear" w:color="auto" w:fill="FFFFFF" w:themeFill="background1"/>
            <w:noWrap/>
            <w:vAlign w:val="center"/>
            <w:hideMark/>
          </w:tcPr>
          <w:p w14:paraId="5927A3E8" w14:textId="77777777" w:rsidR="0060033C" w:rsidRPr="00207C11" w:rsidRDefault="0060033C" w:rsidP="0060033C">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5016,0</w:t>
            </w:r>
          </w:p>
        </w:tc>
      </w:tr>
      <w:tr w:rsidR="0060033C" w:rsidRPr="0060033C" w14:paraId="75A58D80" w14:textId="77777777" w:rsidTr="00B754B4">
        <w:trPr>
          <w:trHeight w:val="499"/>
        </w:trPr>
        <w:tc>
          <w:tcPr>
            <w:tcW w:w="1259" w:type="dxa"/>
            <w:tcBorders>
              <w:top w:val="nil"/>
              <w:left w:val="single" w:sz="12" w:space="0" w:color="auto"/>
              <w:bottom w:val="single" w:sz="4" w:space="0" w:color="auto"/>
              <w:right w:val="single" w:sz="12" w:space="0" w:color="auto"/>
            </w:tcBorders>
            <w:shd w:val="clear" w:color="auto" w:fill="FFFFFF" w:themeFill="background1"/>
            <w:vAlign w:val="center"/>
            <w:hideMark/>
          </w:tcPr>
          <w:p w14:paraId="716C8836" w14:textId="77777777" w:rsidR="0060033C" w:rsidRPr="00207C11" w:rsidRDefault="0060033C" w:rsidP="0060033C">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RD_O2</w:t>
            </w:r>
          </w:p>
        </w:tc>
        <w:tc>
          <w:tcPr>
            <w:tcW w:w="1313" w:type="dxa"/>
            <w:tcBorders>
              <w:top w:val="nil"/>
              <w:left w:val="single" w:sz="12" w:space="0" w:color="auto"/>
              <w:bottom w:val="single" w:sz="4" w:space="0" w:color="auto"/>
              <w:right w:val="nil"/>
            </w:tcBorders>
            <w:shd w:val="clear" w:color="auto" w:fill="FFFFFF" w:themeFill="background1"/>
            <w:noWrap/>
            <w:vAlign w:val="center"/>
            <w:hideMark/>
          </w:tcPr>
          <w:p w14:paraId="6BB266DE"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12,0</w:t>
            </w:r>
          </w:p>
        </w:tc>
        <w:tc>
          <w:tcPr>
            <w:tcW w:w="1261"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3621382D" w14:textId="77777777" w:rsidR="0060033C" w:rsidRPr="00207C11" w:rsidRDefault="0060033C" w:rsidP="0060033C">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1188,0</w:t>
            </w:r>
          </w:p>
        </w:tc>
        <w:tc>
          <w:tcPr>
            <w:tcW w:w="1353" w:type="dxa"/>
            <w:tcBorders>
              <w:top w:val="nil"/>
              <w:left w:val="single" w:sz="4" w:space="0" w:color="auto"/>
              <w:bottom w:val="single" w:sz="4" w:space="0" w:color="auto"/>
              <w:right w:val="nil"/>
            </w:tcBorders>
            <w:shd w:val="clear" w:color="auto" w:fill="FFFFFF" w:themeFill="background1"/>
            <w:noWrap/>
            <w:vAlign w:val="center"/>
            <w:hideMark/>
          </w:tcPr>
          <w:p w14:paraId="3374F4FC"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12,0</w:t>
            </w:r>
          </w:p>
        </w:tc>
        <w:tc>
          <w:tcPr>
            <w:tcW w:w="1188" w:type="dxa"/>
            <w:tcBorders>
              <w:top w:val="nil"/>
              <w:left w:val="single" w:sz="8" w:space="0" w:color="auto"/>
              <w:bottom w:val="single" w:sz="4" w:space="0" w:color="auto"/>
              <w:right w:val="single" w:sz="8" w:space="0" w:color="auto"/>
            </w:tcBorders>
            <w:shd w:val="clear" w:color="auto" w:fill="FFFFFF" w:themeFill="background1"/>
            <w:noWrap/>
            <w:vAlign w:val="center"/>
            <w:hideMark/>
          </w:tcPr>
          <w:p w14:paraId="28E72AD6" w14:textId="77777777" w:rsidR="0060033C" w:rsidRPr="00207C11" w:rsidRDefault="0060033C" w:rsidP="0060033C">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1581,6</w:t>
            </w:r>
          </w:p>
        </w:tc>
        <w:tc>
          <w:tcPr>
            <w:tcW w:w="1276" w:type="dxa"/>
            <w:tcBorders>
              <w:top w:val="nil"/>
              <w:left w:val="single" w:sz="4" w:space="0" w:color="auto"/>
              <w:bottom w:val="single" w:sz="4" w:space="0" w:color="auto"/>
              <w:right w:val="nil"/>
            </w:tcBorders>
            <w:shd w:val="clear" w:color="auto" w:fill="FFFFFF" w:themeFill="background1"/>
            <w:noWrap/>
            <w:vAlign w:val="center"/>
            <w:hideMark/>
          </w:tcPr>
          <w:p w14:paraId="47630B90"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12,0</w:t>
            </w:r>
          </w:p>
        </w:tc>
        <w:tc>
          <w:tcPr>
            <w:tcW w:w="1276" w:type="dxa"/>
            <w:tcBorders>
              <w:top w:val="nil"/>
              <w:left w:val="single" w:sz="8" w:space="0" w:color="auto"/>
              <w:bottom w:val="single" w:sz="4" w:space="0" w:color="auto"/>
              <w:right w:val="single" w:sz="12" w:space="0" w:color="auto"/>
            </w:tcBorders>
            <w:shd w:val="clear" w:color="auto" w:fill="FFFFFF" w:themeFill="background1"/>
            <w:noWrap/>
            <w:vAlign w:val="center"/>
            <w:hideMark/>
          </w:tcPr>
          <w:p w14:paraId="3DBF7984" w14:textId="77777777" w:rsidR="0060033C" w:rsidRPr="00207C11" w:rsidRDefault="0060033C" w:rsidP="0060033C">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2508,0</w:t>
            </w:r>
          </w:p>
        </w:tc>
      </w:tr>
      <w:tr w:rsidR="0060033C" w:rsidRPr="0060033C" w14:paraId="158D5661" w14:textId="77777777" w:rsidTr="00B754B4">
        <w:trPr>
          <w:trHeight w:val="499"/>
        </w:trPr>
        <w:tc>
          <w:tcPr>
            <w:tcW w:w="1259" w:type="dxa"/>
            <w:tcBorders>
              <w:top w:val="nil"/>
              <w:left w:val="single" w:sz="12" w:space="0" w:color="auto"/>
              <w:bottom w:val="single" w:sz="12" w:space="0" w:color="auto"/>
              <w:right w:val="single" w:sz="12" w:space="0" w:color="auto"/>
            </w:tcBorders>
            <w:shd w:val="clear" w:color="auto" w:fill="FFFFFF" w:themeFill="background1"/>
            <w:vAlign w:val="center"/>
            <w:hideMark/>
          </w:tcPr>
          <w:p w14:paraId="6B324B74" w14:textId="77777777" w:rsidR="0060033C" w:rsidRPr="00207C11" w:rsidRDefault="0060033C" w:rsidP="0060033C">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RD_O3</w:t>
            </w:r>
          </w:p>
        </w:tc>
        <w:tc>
          <w:tcPr>
            <w:tcW w:w="1313" w:type="dxa"/>
            <w:tcBorders>
              <w:top w:val="nil"/>
              <w:left w:val="single" w:sz="12" w:space="0" w:color="auto"/>
              <w:bottom w:val="single" w:sz="12" w:space="0" w:color="auto"/>
              <w:right w:val="nil"/>
            </w:tcBorders>
            <w:shd w:val="clear" w:color="auto" w:fill="FFFFFF" w:themeFill="background1"/>
            <w:noWrap/>
            <w:vAlign w:val="center"/>
            <w:hideMark/>
          </w:tcPr>
          <w:p w14:paraId="038586F9"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12,0</w:t>
            </w:r>
          </w:p>
        </w:tc>
        <w:tc>
          <w:tcPr>
            <w:tcW w:w="1261" w:type="dxa"/>
            <w:tcBorders>
              <w:top w:val="nil"/>
              <w:left w:val="single" w:sz="8" w:space="0" w:color="auto"/>
              <w:bottom w:val="single" w:sz="12" w:space="0" w:color="auto"/>
              <w:right w:val="single" w:sz="8" w:space="0" w:color="auto"/>
            </w:tcBorders>
            <w:shd w:val="clear" w:color="auto" w:fill="FFFFFF" w:themeFill="background1"/>
            <w:noWrap/>
            <w:vAlign w:val="center"/>
            <w:hideMark/>
          </w:tcPr>
          <w:p w14:paraId="3497AC3D" w14:textId="77777777" w:rsidR="0060033C" w:rsidRPr="00207C11" w:rsidRDefault="0060033C" w:rsidP="0060033C">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1188,0</w:t>
            </w:r>
          </w:p>
        </w:tc>
        <w:tc>
          <w:tcPr>
            <w:tcW w:w="1353" w:type="dxa"/>
            <w:tcBorders>
              <w:top w:val="nil"/>
              <w:left w:val="single" w:sz="4" w:space="0" w:color="auto"/>
              <w:bottom w:val="single" w:sz="12" w:space="0" w:color="auto"/>
              <w:right w:val="nil"/>
            </w:tcBorders>
            <w:shd w:val="clear" w:color="auto" w:fill="FFFFFF" w:themeFill="background1"/>
            <w:noWrap/>
            <w:vAlign w:val="center"/>
            <w:hideMark/>
          </w:tcPr>
          <w:p w14:paraId="39B77953"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12,0</w:t>
            </w:r>
          </w:p>
        </w:tc>
        <w:tc>
          <w:tcPr>
            <w:tcW w:w="1188" w:type="dxa"/>
            <w:tcBorders>
              <w:top w:val="nil"/>
              <w:left w:val="single" w:sz="8" w:space="0" w:color="auto"/>
              <w:bottom w:val="single" w:sz="12" w:space="0" w:color="auto"/>
              <w:right w:val="single" w:sz="8" w:space="0" w:color="auto"/>
            </w:tcBorders>
            <w:shd w:val="clear" w:color="auto" w:fill="FFFFFF" w:themeFill="background1"/>
            <w:noWrap/>
            <w:vAlign w:val="center"/>
            <w:hideMark/>
          </w:tcPr>
          <w:p w14:paraId="4EB644D6" w14:textId="77777777" w:rsidR="0060033C" w:rsidRPr="00207C11" w:rsidRDefault="0060033C" w:rsidP="0060033C">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1581,6</w:t>
            </w:r>
          </w:p>
        </w:tc>
        <w:tc>
          <w:tcPr>
            <w:tcW w:w="1276" w:type="dxa"/>
            <w:tcBorders>
              <w:top w:val="nil"/>
              <w:left w:val="single" w:sz="4" w:space="0" w:color="auto"/>
              <w:bottom w:val="single" w:sz="12" w:space="0" w:color="auto"/>
              <w:right w:val="nil"/>
            </w:tcBorders>
            <w:shd w:val="clear" w:color="auto" w:fill="FFFFFF" w:themeFill="background1"/>
            <w:noWrap/>
            <w:vAlign w:val="center"/>
            <w:hideMark/>
          </w:tcPr>
          <w:p w14:paraId="417B9DDC" w14:textId="77777777" w:rsidR="0060033C" w:rsidRPr="00207C11" w:rsidRDefault="0060033C"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12,0</w:t>
            </w:r>
          </w:p>
        </w:tc>
        <w:tc>
          <w:tcPr>
            <w:tcW w:w="1276" w:type="dxa"/>
            <w:tcBorders>
              <w:top w:val="nil"/>
              <w:left w:val="single" w:sz="8" w:space="0" w:color="auto"/>
              <w:bottom w:val="single" w:sz="12" w:space="0" w:color="auto"/>
              <w:right w:val="single" w:sz="12" w:space="0" w:color="auto"/>
            </w:tcBorders>
            <w:shd w:val="clear" w:color="auto" w:fill="FFFFFF" w:themeFill="background1"/>
            <w:noWrap/>
            <w:vAlign w:val="center"/>
            <w:hideMark/>
          </w:tcPr>
          <w:p w14:paraId="3E63CBC7" w14:textId="77777777" w:rsidR="0060033C" w:rsidRPr="00207C11" w:rsidRDefault="0060033C" w:rsidP="0060033C">
            <w:pPr>
              <w:spacing w:after="0" w:line="240" w:lineRule="auto"/>
              <w:jc w:val="center"/>
              <w:rPr>
                <w:rFonts w:ascii="Calibri" w:eastAsia="Times New Roman" w:hAnsi="Calibri" w:cs="Times New Roman"/>
                <w:b/>
                <w:bCs/>
                <w:color w:val="000000"/>
                <w:sz w:val="20"/>
                <w:szCs w:val="20"/>
                <w:lang w:eastAsia="sk-SK"/>
              </w:rPr>
            </w:pPr>
            <w:r w:rsidRPr="00207C11">
              <w:rPr>
                <w:rFonts w:ascii="Calibri" w:eastAsia="Times New Roman" w:hAnsi="Calibri" w:cs="Times New Roman"/>
                <w:b/>
                <w:bCs/>
                <w:color w:val="000000"/>
                <w:sz w:val="20"/>
                <w:szCs w:val="20"/>
                <w:lang w:eastAsia="sk-SK"/>
              </w:rPr>
              <w:t>2508,0</w:t>
            </w:r>
          </w:p>
        </w:tc>
      </w:tr>
    </w:tbl>
    <w:p w14:paraId="4282A72C" w14:textId="43BE541C" w:rsidR="007E4F8E" w:rsidRDefault="007E4F8E" w:rsidP="004E1ED8">
      <w:pPr>
        <w:spacing w:before="120" w:after="120"/>
      </w:pPr>
    </w:p>
    <w:p w14:paraId="778A8AAA" w14:textId="097FE55E" w:rsidR="00682330" w:rsidRDefault="00682330" w:rsidP="00254997">
      <w:pPr>
        <w:pStyle w:val="Nadpis2"/>
        <w:numPr>
          <w:ilvl w:val="0"/>
          <w:numId w:val="0"/>
        </w:numPr>
      </w:pPr>
      <w:bookmarkStart w:id="15" w:name="_Toc62576774"/>
      <w:r>
        <w:t>4.</w:t>
      </w:r>
      <w:r w:rsidR="00391A78">
        <w:t>3</w:t>
      </w:r>
      <w:r>
        <w:t xml:space="preserve"> Emisie CO2</w:t>
      </w:r>
      <w:bookmarkEnd w:id="15"/>
    </w:p>
    <w:p w14:paraId="0A8F0C63" w14:textId="64CE8E03" w:rsidR="00B754B4" w:rsidRPr="00B754B4" w:rsidRDefault="00B754B4" w:rsidP="00B754B4">
      <w:pPr>
        <w:spacing w:before="120" w:after="120" w:line="276" w:lineRule="auto"/>
        <w:jc w:val="both"/>
      </w:pPr>
      <w:r w:rsidRPr="00D36BC4">
        <w:t>Emisie CO</w:t>
      </w:r>
      <w:r w:rsidRPr="00D36BC4">
        <w:rPr>
          <w:vertAlign w:val="subscript"/>
        </w:rPr>
        <w:t xml:space="preserve">2 </w:t>
      </w:r>
      <w:r w:rsidRPr="00D36BC4">
        <w:t xml:space="preserve">sú vypočítané na základe súčtu potreby energie na vykurovanie a prípravu TÚV </w:t>
      </w:r>
      <w:r>
        <w:t>vynásobené</w:t>
      </w:r>
      <w:r w:rsidRPr="00D36BC4">
        <w:t> prepočtový</w:t>
      </w:r>
      <w:r>
        <w:t>mi</w:t>
      </w:r>
      <w:r w:rsidRPr="00D36BC4">
        <w:t xml:space="preserve"> faktor</w:t>
      </w:r>
      <w:r>
        <w:t>mi</w:t>
      </w:r>
      <w:r w:rsidRPr="00D36BC4">
        <w:t xml:space="preserve"> podľa jednotlivých energetických nosičov uvažovaných v danej kategórii referenčného domu. </w:t>
      </w:r>
      <w:r>
        <w:t>Emisné faktory jednotlivých energetických nosičov sú pre výpočet emisií CO</w:t>
      </w:r>
      <w:r w:rsidRPr="00D36BC4">
        <w:rPr>
          <w:vertAlign w:val="subscript"/>
        </w:rPr>
        <w:t>2</w:t>
      </w:r>
      <w:r>
        <w:t xml:space="preserve"> použité p</w:t>
      </w:r>
      <w:r w:rsidRPr="00C009F9">
        <w:t xml:space="preserve">odľa </w:t>
      </w:r>
      <w:r>
        <w:t>prílohy č. 2 [</w:t>
      </w:r>
      <w:r w:rsidR="005B4055">
        <w:t>8</w:t>
      </w:r>
      <w:r>
        <w:t xml:space="preserve">] </w:t>
      </w:r>
      <w:r w:rsidRPr="00C009F9">
        <w:t>vyhlášky Ministerstva dopravy, výstavby a regionálneho rozvoja Slovenskej republiky č. 364/2012 Z. z.</w:t>
      </w:r>
      <w:r>
        <w:t xml:space="preserve">  </w:t>
      </w:r>
      <w:r w:rsidRPr="00C009F9">
        <w:t>ktorou sa vykonáva zákon č. 555/2005 Z. z. o energetickej hospodárnosti budov</w:t>
      </w:r>
      <w:r>
        <w:t xml:space="preserve">. </w:t>
      </w:r>
    </w:p>
    <w:p w14:paraId="32287FA7" w14:textId="047571A8" w:rsidR="0060033C" w:rsidRPr="00445849" w:rsidRDefault="0060033C" w:rsidP="0060033C">
      <w:pPr>
        <w:spacing w:before="120" w:after="120"/>
        <w:rPr>
          <w:i/>
          <w:iCs/>
        </w:rPr>
      </w:pPr>
      <w:r w:rsidRPr="00445849">
        <w:rPr>
          <w:i/>
          <w:iCs/>
        </w:rPr>
        <w:t>Tab</w:t>
      </w:r>
      <w:r w:rsidR="00445849" w:rsidRPr="00445849">
        <w:rPr>
          <w:i/>
          <w:iCs/>
        </w:rPr>
        <w:t>. 1</w:t>
      </w:r>
      <w:r w:rsidR="009D46B3">
        <w:rPr>
          <w:i/>
          <w:iCs/>
        </w:rPr>
        <w:t>8</w:t>
      </w:r>
      <w:r w:rsidRPr="00445849">
        <w:rPr>
          <w:i/>
          <w:iCs/>
        </w:rPr>
        <w:t>:</w:t>
      </w:r>
      <w:r w:rsidRPr="00445849">
        <w:rPr>
          <w:b/>
          <w:bCs/>
          <w:i/>
          <w:iCs/>
        </w:rPr>
        <w:t xml:space="preserve"> </w:t>
      </w:r>
      <w:r w:rsidRPr="00445849">
        <w:rPr>
          <w:i/>
          <w:iCs/>
        </w:rPr>
        <w:t>Transformačné (prepočitacie) faktory emisií oxidu uhličitého:</w:t>
      </w:r>
    </w:p>
    <w:tbl>
      <w:tblPr>
        <w:tblW w:w="8926" w:type="dxa"/>
        <w:tblCellMar>
          <w:left w:w="70" w:type="dxa"/>
          <w:right w:w="70" w:type="dxa"/>
        </w:tblCellMar>
        <w:tblLook w:val="04A0" w:firstRow="1" w:lastRow="0" w:firstColumn="1" w:lastColumn="0" w:noHBand="0" w:noVBand="1"/>
      </w:tblPr>
      <w:tblGrid>
        <w:gridCol w:w="1860"/>
        <w:gridCol w:w="4231"/>
        <w:gridCol w:w="2835"/>
      </w:tblGrid>
      <w:tr w:rsidR="0060033C" w:rsidRPr="0060033C" w14:paraId="7CDA6764" w14:textId="77777777" w:rsidTr="00B754B4">
        <w:trPr>
          <w:trHeight w:val="600"/>
        </w:trPr>
        <w:tc>
          <w:tcPr>
            <w:tcW w:w="1860"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3FE43865"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Označ.</w:t>
            </w:r>
          </w:p>
        </w:tc>
        <w:tc>
          <w:tcPr>
            <w:tcW w:w="4231"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hideMark/>
          </w:tcPr>
          <w:p w14:paraId="3154610B"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Typ zdroja / energetický nosič</w:t>
            </w:r>
          </w:p>
        </w:tc>
        <w:tc>
          <w:tcPr>
            <w:tcW w:w="2835"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0D1BC17C"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Faktor emisie CO2</w:t>
            </w:r>
            <w:r w:rsidRPr="0060033C">
              <w:rPr>
                <w:rFonts w:ascii="Calibri" w:eastAsia="Times New Roman" w:hAnsi="Calibri" w:cs="Times New Roman"/>
                <w:i/>
                <w:iCs/>
                <w:color w:val="000000"/>
                <w:lang w:eastAsia="sk-SK"/>
              </w:rPr>
              <w:t xml:space="preserve"> K</w:t>
            </w:r>
          </w:p>
        </w:tc>
      </w:tr>
      <w:tr w:rsidR="0060033C" w:rsidRPr="0060033C" w14:paraId="05358D37" w14:textId="77777777" w:rsidTr="00B754B4">
        <w:trPr>
          <w:trHeight w:val="397"/>
        </w:trPr>
        <w:tc>
          <w:tcPr>
            <w:tcW w:w="1860" w:type="dxa"/>
            <w:tcBorders>
              <w:top w:val="nil"/>
              <w:left w:val="single" w:sz="12" w:space="0" w:color="auto"/>
              <w:bottom w:val="single" w:sz="4" w:space="0" w:color="auto"/>
              <w:right w:val="single" w:sz="12" w:space="0" w:color="auto"/>
            </w:tcBorders>
            <w:shd w:val="clear" w:color="auto" w:fill="FFFFFF" w:themeFill="background1"/>
            <w:vAlign w:val="center"/>
            <w:hideMark/>
          </w:tcPr>
          <w:p w14:paraId="61BD741E"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RD_O1</w:t>
            </w:r>
          </w:p>
        </w:tc>
        <w:tc>
          <w:tcPr>
            <w:tcW w:w="4231" w:type="dxa"/>
            <w:tcBorders>
              <w:top w:val="nil"/>
              <w:left w:val="single" w:sz="12" w:space="0" w:color="auto"/>
              <w:bottom w:val="single" w:sz="4" w:space="0" w:color="auto"/>
              <w:right w:val="single" w:sz="4" w:space="0" w:color="auto"/>
            </w:tcBorders>
            <w:shd w:val="clear" w:color="auto" w:fill="FFFFFF" w:themeFill="background1"/>
            <w:vAlign w:val="center"/>
            <w:hideMark/>
          </w:tcPr>
          <w:p w14:paraId="3C1C886D"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Kotol na drevené peletky</w:t>
            </w:r>
          </w:p>
        </w:tc>
        <w:tc>
          <w:tcPr>
            <w:tcW w:w="2835" w:type="dxa"/>
            <w:tcBorders>
              <w:top w:val="nil"/>
              <w:left w:val="nil"/>
              <w:bottom w:val="single" w:sz="4" w:space="0" w:color="auto"/>
              <w:right w:val="single" w:sz="12" w:space="0" w:color="auto"/>
            </w:tcBorders>
            <w:shd w:val="clear" w:color="auto" w:fill="FFFFFF" w:themeFill="background1"/>
            <w:noWrap/>
            <w:vAlign w:val="center"/>
            <w:hideMark/>
          </w:tcPr>
          <w:p w14:paraId="2DAA9C29"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0,020</w:t>
            </w:r>
          </w:p>
        </w:tc>
      </w:tr>
      <w:tr w:rsidR="0060033C" w:rsidRPr="0060033C" w14:paraId="1ACDBEAC" w14:textId="77777777" w:rsidTr="00B754B4">
        <w:trPr>
          <w:trHeight w:val="397"/>
        </w:trPr>
        <w:tc>
          <w:tcPr>
            <w:tcW w:w="1860" w:type="dxa"/>
            <w:tcBorders>
              <w:top w:val="nil"/>
              <w:left w:val="single" w:sz="12" w:space="0" w:color="auto"/>
              <w:bottom w:val="single" w:sz="4" w:space="0" w:color="auto"/>
              <w:right w:val="single" w:sz="12" w:space="0" w:color="auto"/>
            </w:tcBorders>
            <w:shd w:val="clear" w:color="auto" w:fill="FFFFFF" w:themeFill="background1"/>
            <w:vAlign w:val="center"/>
            <w:hideMark/>
          </w:tcPr>
          <w:p w14:paraId="727732EC"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RD_O2</w:t>
            </w:r>
          </w:p>
        </w:tc>
        <w:tc>
          <w:tcPr>
            <w:tcW w:w="4231" w:type="dxa"/>
            <w:tcBorders>
              <w:top w:val="nil"/>
              <w:left w:val="single" w:sz="12" w:space="0" w:color="auto"/>
              <w:bottom w:val="single" w:sz="4" w:space="0" w:color="auto"/>
              <w:right w:val="single" w:sz="4" w:space="0" w:color="auto"/>
            </w:tcBorders>
            <w:shd w:val="clear" w:color="auto" w:fill="FFFFFF" w:themeFill="background1"/>
            <w:vAlign w:val="center"/>
            <w:hideMark/>
          </w:tcPr>
          <w:p w14:paraId="61E96D8F"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Tepelné čerpadlo vzduch/voda</w:t>
            </w:r>
          </w:p>
        </w:tc>
        <w:tc>
          <w:tcPr>
            <w:tcW w:w="2835" w:type="dxa"/>
            <w:tcBorders>
              <w:top w:val="nil"/>
              <w:left w:val="nil"/>
              <w:bottom w:val="single" w:sz="4" w:space="0" w:color="auto"/>
              <w:right w:val="single" w:sz="12" w:space="0" w:color="auto"/>
            </w:tcBorders>
            <w:shd w:val="clear" w:color="auto" w:fill="FFFFFF" w:themeFill="background1"/>
            <w:noWrap/>
            <w:vAlign w:val="center"/>
            <w:hideMark/>
          </w:tcPr>
          <w:p w14:paraId="531D0175"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0,167</w:t>
            </w:r>
          </w:p>
        </w:tc>
      </w:tr>
      <w:tr w:rsidR="0060033C" w:rsidRPr="0060033C" w14:paraId="65A25B38" w14:textId="77777777" w:rsidTr="00B754B4">
        <w:trPr>
          <w:trHeight w:val="397"/>
        </w:trPr>
        <w:tc>
          <w:tcPr>
            <w:tcW w:w="1860" w:type="dxa"/>
            <w:tcBorders>
              <w:top w:val="nil"/>
              <w:left w:val="single" w:sz="12" w:space="0" w:color="auto"/>
              <w:bottom w:val="single" w:sz="12" w:space="0" w:color="auto"/>
              <w:right w:val="single" w:sz="12" w:space="0" w:color="auto"/>
            </w:tcBorders>
            <w:shd w:val="clear" w:color="auto" w:fill="FFFFFF" w:themeFill="background1"/>
            <w:vAlign w:val="center"/>
            <w:hideMark/>
          </w:tcPr>
          <w:p w14:paraId="621885CE"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RD_O3</w:t>
            </w:r>
          </w:p>
        </w:tc>
        <w:tc>
          <w:tcPr>
            <w:tcW w:w="4231" w:type="dxa"/>
            <w:tcBorders>
              <w:top w:val="nil"/>
              <w:left w:val="single" w:sz="12" w:space="0" w:color="auto"/>
              <w:bottom w:val="single" w:sz="12" w:space="0" w:color="auto"/>
              <w:right w:val="single" w:sz="4" w:space="0" w:color="auto"/>
            </w:tcBorders>
            <w:shd w:val="clear" w:color="auto" w:fill="FFFFFF" w:themeFill="background1"/>
            <w:vAlign w:val="center"/>
            <w:hideMark/>
          </w:tcPr>
          <w:p w14:paraId="61D207F3"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Tepelné čerpadlo vzduch/voda</w:t>
            </w:r>
          </w:p>
        </w:tc>
        <w:tc>
          <w:tcPr>
            <w:tcW w:w="2835" w:type="dxa"/>
            <w:tcBorders>
              <w:top w:val="nil"/>
              <w:left w:val="nil"/>
              <w:bottom w:val="single" w:sz="12" w:space="0" w:color="auto"/>
              <w:right w:val="single" w:sz="12" w:space="0" w:color="auto"/>
            </w:tcBorders>
            <w:shd w:val="clear" w:color="auto" w:fill="FFFFFF" w:themeFill="background1"/>
            <w:noWrap/>
            <w:vAlign w:val="center"/>
            <w:hideMark/>
          </w:tcPr>
          <w:p w14:paraId="5187E67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0,167</w:t>
            </w:r>
          </w:p>
        </w:tc>
      </w:tr>
    </w:tbl>
    <w:p w14:paraId="200A7FE4" w14:textId="4DD91A8E" w:rsidR="0060033C" w:rsidRDefault="0060033C" w:rsidP="0060033C"/>
    <w:p w14:paraId="6255A439" w14:textId="18052596" w:rsidR="00254997" w:rsidRPr="00445849" w:rsidRDefault="00254997" w:rsidP="00254997">
      <w:pPr>
        <w:spacing w:before="120" w:after="120"/>
        <w:rPr>
          <w:i/>
          <w:iCs/>
        </w:rPr>
      </w:pPr>
      <w:r w:rsidRPr="00445849">
        <w:rPr>
          <w:i/>
          <w:iCs/>
        </w:rPr>
        <w:lastRenderedPageBreak/>
        <w:t>Tab</w:t>
      </w:r>
      <w:r w:rsidR="00445849">
        <w:rPr>
          <w:i/>
          <w:iCs/>
        </w:rPr>
        <w:t>.</w:t>
      </w:r>
      <w:r w:rsidRPr="00445849">
        <w:rPr>
          <w:i/>
          <w:iCs/>
        </w:rPr>
        <w:t xml:space="preserve"> </w:t>
      </w:r>
      <w:r w:rsidR="00445849" w:rsidRPr="00445849">
        <w:rPr>
          <w:i/>
          <w:iCs/>
        </w:rPr>
        <w:t>1</w:t>
      </w:r>
      <w:r w:rsidR="009D46B3">
        <w:rPr>
          <w:i/>
          <w:iCs/>
        </w:rPr>
        <w:t>9</w:t>
      </w:r>
      <w:r w:rsidRPr="00445849">
        <w:rPr>
          <w:i/>
          <w:iCs/>
        </w:rPr>
        <w:t>:</w:t>
      </w:r>
      <w:r w:rsidRPr="00445849">
        <w:rPr>
          <w:b/>
          <w:bCs/>
          <w:i/>
          <w:iCs/>
        </w:rPr>
        <w:t xml:space="preserve"> </w:t>
      </w:r>
      <w:r w:rsidRPr="00445849">
        <w:rPr>
          <w:i/>
          <w:iCs/>
        </w:rPr>
        <w:t>Celková emisie CO2 (obnovený stav)</w:t>
      </w:r>
    </w:p>
    <w:tbl>
      <w:tblPr>
        <w:tblW w:w="8926" w:type="dxa"/>
        <w:tblCellMar>
          <w:left w:w="70" w:type="dxa"/>
          <w:right w:w="70" w:type="dxa"/>
        </w:tblCellMar>
        <w:tblLook w:val="04A0" w:firstRow="1" w:lastRow="0" w:firstColumn="1" w:lastColumn="0" w:noHBand="0" w:noVBand="1"/>
      </w:tblPr>
      <w:tblGrid>
        <w:gridCol w:w="1860"/>
        <w:gridCol w:w="2388"/>
        <w:gridCol w:w="2126"/>
        <w:gridCol w:w="2552"/>
      </w:tblGrid>
      <w:tr w:rsidR="00254997" w:rsidRPr="00254997" w14:paraId="07FAEA34" w14:textId="77777777" w:rsidTr="00B754B4">
        <w:trPr>
          <w:trHeight w:val="402"/>
        </w:trPr>
        <w:tc>
          <w:tcPr>
            <w:tcW w:w="1860" w:type="dxa"/>
            <w:vMerge w:val="restart"/>
            <w:tcBorders>
              <w:top w:val="single" w:sz="12" w:space="0" w:color="auto"/>
              <w:left w:val="single" w:sz="12" w:space="0" w:color="auto"/>
              <w:bottom w:val="single" w:sz="4" w:space="0" w:color="000000"/>
              <w:right w:val="single" w:sz="12" w:space="0" w:color="auto"/>
            </w:tcBorders>
            <w:shd w:val="clear" w:color="auto" w:fill="auto"/>
            <w:noWrap/>
            <w:vAlign w:val="bottom"/>
            <w:hideMark/>
          </w:tcPr>
          <w:p w14:paraId="5D761D46" w14:textId="77777777" w:rsidR="00254997" w:rsidRPr="00207C11" w:rsidRDefault="00254997"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 </w:t>
            </w:r>
          </w:p>
        </w:tc>
        <w:tc>
          <w:tcPr>
            <w:tcW w:w="238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174DDC4D" w14:textId="77777777" w:rsidR="00254997" w:rsidRPr="00207C11" w:rsidRDefault="00254997"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RD_M</w:t>
            </w:r>
          </w:p>
        </w:tc>
        <w:tc>
          <w:tcPr>
            <w:tcW w:w="2126" w:type="dxa"/>
            <w:tcBorders>
              <w:top w:val="single" w:sz="12" w:space="0" w:color="auto"/>
              <w:left w:val="nil"/>
              <w:bottom w:val="single" w:sz="4" w:space="0" w:color="auto"/>
              <w:right w:val="single" w:sz="4" w:space="0" w:color="auto"/>
            </w:tcBorders>
            <w:shd w:val="clear" w:color="auto" w:fill="auto"/>
            <w:noWrap/>
            <w:vAlign w:val="center"/>
            <w:hideMark/>
          </w:tcPr>
          <w:p w14:paraId="21092F98" w14:textId="77777777" w:rsidR="00254997" w:rsidRPr="00207C11" w:rsidRDefault="00254997"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RD_S</w:t>
            </w:r>
          </w:p>
        </w:tc>
        <w:tc>
          <w:tcPr>
            <w:tcW w:w="2552" w:type="dxa"/>
            <w:tcBorders>
              <w:top w:val="single" w:sz="12" w:space="0" w:color="auto"/>
              <w:left w:val="nil"/>
              <w:bottom w:val="single" w:sz="4" w:space="0" w:color="auto"/>
              <w:right w:val="single" w:sz="12" w:space="0" w:color="auto"/>
            </w:tcBorders>
            <w:shd w:val="clear" w:color="auto" w:fill="auto"/>
            <w:noWrap/>
            <w:vAlign w:val="center"/>
            <w:hideMark/>
          </w:tcPr>
          <w:p w14:paraId="7873A7D7" w14:textId="77777777" w:rsidR="00254997" w:rsidRPr="00207C11" w:rsidRDefault="00254997"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RD_V</w:t>
            </w:r>
          </w:p>
        </w:tc>
      </w:tr>
      <w:tr w:rsidR="00254997" w:rsidRPr="00254997" w14:paraId="19A14BE8" w14:textId="77777777" w:rsidTr="00B754B4">
        <w:trPr>
          <w:trHeight w:val="402"/>
        </w:trPr>
        <w:tc>
          <w:tcPr>
            <w:tcW w:w="1860" w:type="dxa"/>
            <w:vMerge/>
            <w:tcBorders>
              <w:top w:val="single" w:sz="4" w:space="0" w:color="auto"/>
              <w:left w:val="single" w:sz="12" w:space="0" w:color="auto"/>
              <w:bottom w:val="single" w:sz="12" w:space="0" w:color="auto"/>
              <w:right w:val="single" w:sz="12" w:space="0" w:color="auto"/>
            </w:tcBorders>
            <w:vAlign w:val="center"/>
            <w:hideMark/>
          </w:tcPr>
          <w:p w14:paraId="3FF7938C" w14:textId="77777777" w:rsidR="00254997" w:rsidRPr="00207C11" w:rsidRDefault="00254997" w:rsidP="00254997">
            <w:pPr>
              <w:spacing w:after="0" w:line="240" w:lineRule="auto"/>
              <w:rPr>
                <w:rFonts w:ascii="Calibri" w:eastAsia="Times New Roman" w:hAnsi="Calibri" w:cs="Times New Roman"/>
                <w:color w:val="000000"/>
                <w:sz w:val="20"/>
                <w:szCs w:val="20"/>
                <w:lang w:eastAsia="sk-SK"/>
              </w:rPr>
            </w:pPr>
          </w:p>
        </w:tc>
        <w:tc>
          <w:tcPr>
            <w:tcW w:w="2388" w:type="dxa"/>
            <w:tcBorders>
              <w:top w:val="nil"/>
              <w:left w:val="single" w:sz="12" w:space="0" w:color="auto"/>
              <w:bottom w:val="single" w:sz="12" w:space="0" w:color="auto"/>
              <w:right w:val="single" w:sz="4" w:space="0" w:color="auto"/>
            </w:tcBorders>
            <w:shd w:val="clear" w:color="auto" w:fill="auto"/>
            <w:noWrap/>
            <w:vAlign w:val="center"/>
            <w:hideMark/>
          </w:tcPr>
          <w:p w14:paraId="17E446B7" w14:textId="35F71EE4" w:rsidR="00254997" w:rsidRPr="00207C11" w:rsidRDefault="00E241C3"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[kg/a]</w:t>
            </w:r>
          </w:p>
        </w:tc>
        <w:tc>
          <w:tcPr>
            <w:tcW w:w="2126" w:type="dxa"/>
            <w:tcBorders>
              <w:top w:val="nil"/>
              <w:left w:val="nil"/>
              <w:bottom w:val="single" w:sz="12" w:space="0" w:color="auto"/>
              <w:right w:val="single" w:sz="4" w:space="0" w:color="auto"/>
            </w:tcBorders>
            <w:shd w:val="clear" w:color="auto" w:fill="auto"/>
            <w:noWrap/>
            <w:vAlign w:val="center"/>
            <w:hideMark/>
          </w:tcPr>
          <w:p w14:paraId="2B79A0B1" w14:textId="28333178" w:rsidR="00254997" w:rsidRPr="00207C11" w:rsidRDefault="00E241C3"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[kg/a]</w:t>
            </w:r>
          </w:p>
        </w:tc>
        <w:tc>
          <w:tcPr>
            <w:tcW w:w="2552" w:type="dxa"/>
            <w:tcBorders>
              <w:top w:val="nil"/>
              <w:left w:val="nil"/>
              <w:bottom w:val="single" w:sz="12" w:space="0" w:color="auto"/>
              <w:right w:val="single" w:sz="12" w:space="0" w:color="auto"/>
            </w:tcBorders>
            <w:shd w:val="clear" w:color="auto" w:fill="auto"/>
            <w:noWrap/>
            <w:vAlign w:val="center"/>
            <w:hideMark/>
          </w:tcPr>
          <w:p w14:paraId="74166157" w14:textId="6DDE0C96" w:rsidR="00254997" w:rsidRPr="00207C11" w:rsidRDefault="00E241C3" w:rsidP="00254997">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[kg/a]</w:t>
            </w:r>
          </w:p>
        </w:tc>
      </w:tr>
      <w:tr w:rsidR="00254997" w:rsidRPr="00254997" w14:paraId="792723A5" w14:textId="77777777" w:rsidTr="00B754B4">
        <w:trPr>
          <w:trHeight w:val="402"/>
        </w:trPr>
        <w:tc>
          <w:tcPr>
            <w:tcW w:w="1860" w:type="dxa"/>
            <w:tcBorders>
              <w:top w:val="single" w:sz="12" w:space="0" w:color="auto"/>
              <w:left w:val="single" w:sz="12" w:space="0" w:color="auto"/>
              <w:bottom w:val="single" w:sz="4" w:space="0" w:color="auto"/>
              <w:right w:val="single" w:sz="12" w:space="0" w:color="auto"/>
            </w:tcBorders>
            <w:shd w:val="clear" w:color="auto" w:fill="auto"/>
            <w:vAlign w:val="center"/>
            <w:hideMark/>
          </w:tcPr>
          <w:p w14:paraId="5BE9BC27" w14:textId="77777777" w:rsidR="00254997" w:rsidRPr="00207C11" w:rsidRDefault="00254997" w:rsidP="00254997">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RD_O1</w:t>
            </w:r>
          </w:p>
        </w:tc>
        <w:tc>
          <w:tcPr>
            <w:tcW w:w="2388"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14:paraId="30E3F8D7"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247,7</w:t>
            </w:r>
          </w:p>
        </w:tc>
        <w:tc>
          <w:tcPr>
            <w:tcW w:w="2126" w:type="dxa"/>
            <w:tcBorders>
              <w:top w:val="single" w:sz="12" w:space="0" w:color="auto"/>
              <w:left w:val="nil"/>
              <w:bottom w:val="single" w:sz="4" w:space="0" w:color="auto"/>
              <w:right w:val="single" w:sz="8" w:space="0" w:color="auto"/>
            </w:tcBorders>
            <w:shd w:val="clear" w:color="auto" w:fill="auto"/>
            <w:noWrap/>
            <w:vAlign w:val="center"/>
            <w:hideMark/>
          </w:tcPr>
          <w:p w14:paraId="34CE0D53"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285,1</w:t>
            </w:r>
          </w:p>
        </w:tc>
        <w:tc>
          <w:tcPr>
            <w:tcW w:w="2552" w:type="dxa"/>
            <w:tcBorders>
              <w:top w:val="single" w:sz="12" w:space="0" w:color="auto"/>
              <w:left w:val="nil"/>
              <w:bottom w:val="single" w:sz="4" w:space="0" w:color="auto"/>
              <w:right w:val="single" w:sz="12" w:space="0" w:color="auto"/>
            </w:tcBorders>
            <w:shd w:val="clear" w:color="auto" w:fill="auto"/>
            <w:noWrap/>
            <w:vAlign w:val="center"/>
            <w:hideMark/>
          </w:tcPr>
          <w:p w14:paraId="5FE1EBFD"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414,8</w:t>
            </w:r>
          </w:p>
        </w:tc>
      </w:tr>
      <w:tr w:rsidR="00254997" w:rsidRPr="00254997" w14:paraId="7C464DED" w14:textId="77777777" w:rsidTr="00B754B4">
        <w:trPr>
          <w:trHeight w:val="402"/>
        </w:trPr>
        <w:tc>
          <w:tcPr>
            <w:tcW w:w="1860" w:type="dxa"/>
            <w:tcBorders>
              <w:top w:val="nil"/>
              <w:left w:val="single" w:sz="12" w:space="0" w:color="auto"/>
              <w:bottom w:val="single" w:sz="4" w:space="0" w:color="auto"/>
              <w:right w:val="single" w:sz="12" w:space="0" w:color="auto"/>
            </w:tcBorders>
            <w:shd w:val="clear" w:color="auto" w:fill="auto"/>
            <w:vAlign w:val="center"/>
            <w:hideMark/>
          </w:tcPr>
          <w:p w14:paraId="6D8F6FDE" w14:textId="77777777" w:rsidR="00254997" w:rsidRPr="00207C11" w:rsidRDefault="00254997" w:rsidP="00254997">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RD_O2</w:t>
            </w:r>
          </w:p>
        </w:tc>
        <w:tc>
          <w:tcPr>
            <w:tcW w:w="2388" w:type="dxa"/>
            <w:tcBorders>
              <w:top w:val="nil"/>
              <w:left w:val="single" w:sz="12" w:space="0" w:color="auto"/>
              <w:bottom w:val="single" w:sz="4" w:space="0" w:color="auto"/>
              <w:right w:val="single" w:sz="8" w:space="0" w:color="auto"/>
            </w:tcBorders>
            <w:shd w:val="clear" w:color="auto" w:fill="auto"/>
            <w:noWrap/>
            <w:vAlign w:val="center"/>
            <w:hideMark/>
          </w:tcPr>
          <w:p w14:paraId="32C38C76"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746,6</w:t>
            </w:r>
          </w:p>
        </w:tc>
        <w:tc>
          <w:tcPr>
            <w:tcW w:w="2126" w:type="dxa"/>
            <w:tcBorders>
              <w:top w:val="nil"/>
              <w:left w:val="nil"/>
              <w:bottom w:val="single" w:sz="4" w:space="0" w:color="auto"/>
              <w:right w:val="single" w:sz="8" w:space="0" w:color="auto"/>
            </w:tcBorders>
            <w:shd w:val="clear" w:color="auto" w:fill="auto"/>
            <w:noWrap/>
            <w:vAlign w:val="center"/>
            <w:hideMark/>
          </w:tcPr>
          <w:p w14:paraId="12F06B9A"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871,6</w:t>
            </w:r>
          </w:p>
        </w:tc>
        <w:tc>
          <w:tcPr>
            <w:tcW w:w="2552" w:type="dxa"/>
            <w:tcBorders>
              <w:top w:val="nil"/>
              <w:left w:val="nil"/>
              <w:bottom w:val="single" w:sz="4" w:space="0" w:color="auto"/>
              <w:right w:val="single" w:sz="12" w:space="0" w:color="auto"/>
            </w:tcBorders>
            <w:shd w:val="clear" w:color="auto" w:fill="auto"/>
            <w:noWrap/>
            <w:vAlign w:val="center"/>
            <w:hideMark/>
          </w:tcPr>
          <w:p w14:paraId="2C5CB987"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1280,2</w:t>
            </w:r>
          </w:p>
        </w:tc>
      </w:tr>
      <w:tr w:rsidR="00254997" w:rsidRPr="00254997" w14:paraId="67DE702D" w14:textId="77777777" w:rsidTr="00B754B4">
        <w:trPr>
          <w:trHeight w:val="402"/>
        </w:trPr>
        <w:tc>
          <w:tcPr>
            <w:tcW w:w="1860" w:type="dxa"/>
            <w:tcBorders>
              <w:top w:val="nil"/>
              <w:left w:val="single" w:sz="12" w:space="0" w:color="auto"/>
              <w:bottom w:val="single" w:sz="12" w:space="0" w:color="auto"/>
              <w:right w:val="single" w:sz="12" w:space="0" w:color="auto"/>
            </w:tcBorders>
            <w:shd w:val="clear" w:color="auto" w:fill="auto"/>
            <w:vAlign w:val="center"/>
            <w:hideMark/>
          </w:tcPr>
          <w:p w14:paraId="30286DCB" w14:textId="77777777" w:rsidR="00254997" w:rsidRPr="00207C11" w:rsidRDefault="00254997" w:rsidP="00254997">
            <w:pPr>
              <w:spacing w:after="0" w:line="240" w:lineRule="auto"/>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RD_O3</w:t>
            </w:r>
          </w:p>
        </w:tc>
        <w:tc>
          <w:tcPr>
            <w:tcW w:w="2388" w:type="dxa"/>
            <w:tcBorders>
              <w:top w:val="nil"/>
              <w:left w:val="single" w:sz="12" w:space="0" w:color="auto"/>
              <w:bottom w:val="single" w:sz="12" w:space="0" w:color="auto"/>
              <w:right w:val="single" w:sz="8" w:space="0" w:color="auto"/>
            </w:tcBorders>
            <w:shd w:val="clear" w:color="auto" w:fill="auto"/>
            <w:noWrap/>
            <w:vAlign w:val="center"/>
            <w:hideMark/>
          </w:tcPr>
          <w:p w14:paraId="1A08BF6B"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626,9</w:t>
            </w:r>
          </w:p>
        </w:tc>
        <w:tc>
          <w:tcPr>
            <w:tcW w:w="2126" w:type="dxa"/>
            <w:tcBorders>
              <w:top w:val="nil"/>
              <w:left w:val="nil"/>
              <w:bottom w:val="single" w:sz="12" w:space="0" w:color="auto"/>
              <w:right w:val="single" w:sz="8" w:space="0" w:color="auto"/>
            </w:tcBorders>
            <w:shd w:val="clear" w:color="auto" w:fill="auto"/>
            <w:noWrap/>
            <w:vAlign w:val="center"/>
            <w:hideMark/>
          </w:tcPr>
          <w:p w14:paraId="5CA427F6"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750,1</w:t>
            </w:r>
          </w:p>
        </w:tc>
        <w:tc>
          <w:tcPr>
            <w:tcW w:w="2552" w:type="dxa"/>
            <w:tcBorders>
              <w:top w:val="nil"/>
              <w:left w:val="nil"/>
              <w:bottom w:val="single" w:sz="12" w:space="0" w:color="auto"/>
              <w:right w:val="single" w:sz="12" w:space="0" w:color="auto"/>
            </w:tcBorders>
            <w:shd w:val="clear" w:color="auto" w:fill="auto"/>
            <w:noWrap/>
            <w:vAlign w:val="center"/>
            <w:hideMark/>
          </w:tcPr>
          <w:p w14:paraId="209DFC22" w14:textId="77777777" w:rsidR="00254997" w:rsidRPr="00207C11" w:rsidRDefault="00254997" w:rsidP="00254997">
            <w:pPr>
              <w:spacing w:after="0" w:line="240" w:lineRule="auto"/>
              <w:jc w:val="center"/>
              <w:rPr>
                <w:rFonts w:ascii="Calibri" w:eastAsia="Times New Roman" w:hAnsi="Calibri" w:cs="Times New Roman"/>
                <w:b/>
                <w:bCs/>
                <w:sz w:val="20"/>
                <w:szCs w:val="20"/>
                <w:lang w:eastAsia="sk-SK"/>
              </w:rPr>
            </w:pPr>
            <w:r w:rsidRPr="00207C11">
              <w:rPr>
                <w:rFonts w:ascii="Calibri" w:eastAsia="Times New Roman" w:hAnsi="Calibri" w:cs="Times New Roman"/>
                <w:b/>
                <w:bCs/>
                <w:sz w:val="20"/>
                <w:szCs w:val="20"/>
                <w:lang w:eastAsia="sk-SK"/>
              </w:rPr>
              <w:t>956,3</w:t>
            </w:r>
          </w:p>
        </w:tc>
      </w:tr>
    </w:tbl>
    <w:p w14:paraId="6F2CC9AF" w14:textId="7D5755E2" w:rsidR="00254997" w:rsidRDefault="00254997" w:rsidP="00254997"/>
    <w:p w14:paraId="2D0D2318" w14:textId="758BCEAA" w:rsidR="003271B1" w:rsidRDefault="003271B1" w:rsidP="003271B1">
      <w:pPr>
        <w:pStyle w:val="Nadpis1"/>
      </w:pPr>
      <w:bookmarkStart w:id="16" w:name="_Toc62576775"/>
      <w:r>
        <w:t>Výpočet úspor energie,</w:t>
      </w:r>
      <w:r w:rsidR="00846B96">
        <w:t xml:space="preserve"> úspor</w:t>
      </w:r>
      <w:r>
        <w:t xml:space="preserve"> emisií a</w:t>
      </w:r>
      <w:r w:rsidR="00D774AD">
        <w:t> </w:t>
      </w:r>
      <w:r w:rsidR="003310AB">
        <w:t>náklady</w:t>
      </w:r>
      <w:bookmarkEnd w:id="16"/>
    </w:p>
    <w:p w14:paraId="65BEB37D" w14:textId="43DA67EB" w:rsidR="005C2C92" w:rsidRDefault="00D774AD" w:rsidP="00D774AD">
      <w:pPr>
        <w:jc w:val="both"/>
      </w:pPr>
      <w:r>
        <w:t>Úspora energie na vykurovanie a prípravu TÚV, zníženie emisií a celkové náklady sú vypočítan</w:t>
      </w:r>
      <w:r w:rsidR="0078713A">
        <w:t>é</w:t>
      </w:r>
      <w:r>
        <w:t xml:space="preserve"> pre všetky kombinácie referenčných budov v pôvodnom stave a stave po obnove. </w:t>
      </w:r>
      <w:r w:rsidR="005C2C92">
        <w:t xml:space="preserve">Je vhodné uviesť, že vo výpočte spotreby energie nie je uvažované s potrebou energie na chladenie, pri ktorej sa dá predpokladať, že bude v najbližších rokoch rásť. Oficiálna metodika výpočtu spotreby energie rodinných domov pre účely projektového energetického hodnotenia alebo energetickej certifikácie však taktiež nezapočítava spotrebu energie na chladenie.  </w:t>
      </w:r>
    </w:p>
    <w:p w14:paraId="7FBE4E20" w14:textId="0B7D6CAC" w:rsidR="00D774AD" w:rsidRDefault="00D774AD" w:rsidP="00D774AD">
      <w:pPr>
        <w:jc w:val="both"/>
      </w:pPr>
      <w:r>
        <w:t xml:space="preserve">Zároveň  sú namodelované kombinácie pre tri vybrané veľkosti referenčných rodinných domov. </w:t>
      </w:r>
      <w:r w:rsidR="00445849">
        <w:t>Ide teda dokopy o 27 kombinácií referenčných budov s ich variantami obnov.</w:t>
      </w:r>
    </w:p>
    <w:p w14:paraId="7D05B46E" w14:textId="01B1CFDF" w:rsidR="00445849" w:rsidRDefault="00445849" w:rsidP="00445849">
      <w:pPr>
        <w:jc w:val="both"/>
      </w:pPr>
      <w:r>
        <w:t xml:space="preserve">Pre všetky detailné výpočty a samotný výpočtový model viď. prílohu č. 1 – Výpočtový model. </w:t>
      </w:r>
    </w:p>
    <w:p w14:paraId="4722DC5A" w14:textId="5B26FDFA" w:rsidR="00391A78" w:rsidRDefault="00391A78" w:rsidP="00254997">
      <w:pPr>
        <w:pStyle w:val="Nadpis2"/>
        <w:numPr>
          <w:ilvl w:val="1"/>
          <w:numId w:val="14"/>
        </w:numPr>
        <w:ind w:left="357" w:hanging="357"/>
      </w:pPr>
      <w:bookmarkStart w:id="17" w:name="_Toc62576776"/>
      <w:r>
        <w:t>Úspora energie na vykurovanie</w:t>
      </w:r>
      <w:bookmarkEnd w:id="17"/>
    </w:p>
    <w:p w14:paraId="6FCC4D12" w14:textId="2CD18401" w:rsidR="00D774AD" w:rsidRPr="00D774AD" w:rsidRDefault="00D774AD" w:rsidP="00D774AD">
      <w:r>
        <w:t>Úspora energie na vykurovanie je vypočítan</w:t>
      </w:r>
      <w:r w:rsidR="00E320AA">
        <w:t>á</w:t>
      </w:r>
      <w:r>
        <w:t xml:space="preserve"> ako rozdiel potreby energie pred obnovou a po obnove. Nasledujúca tabuľka znázorňuje úsporu energie pre všetky typy kombinácií. Úspora energie dosahuje zníženie od 59 % pri najkonzervatívnejšej obnove po 86 % pri tej najambicióznejšej. </w:t>
      </w:r>
    </w:p>
    <w:p w14:paraId="291627DF" w14:textId="3112466E" w:rsidR="003271B1" w:rsidRPr="00445849" w:rsidRDefault="0060033C" w:rsidP="004E1ED8">
      <w:pPr>
        <w:spacing w:before="120" w:after="120"/>
        <w:rPr>
          <w:i/>
          <w:iCs/>
        </w:rPr>
      </w:pPr>
      <w:r w:rsidRPr="00445849">
        <w:rPr>
          <w:i/>
          <w:iCs/>
        </w:rPr>
        <w:t>Tab</w:t>
      </w:r>
      <w:r w:rsidR="00445849">
        <w:rPr>
          <w:i/>
          <w:iCs/>
        </w:rPr>
        <w:t>.</w:t>
      </w:r>
      <w:r w:rsidRPr="00445849">
        <w:rPr>
          <w:i/>
          <w:iCs/>
        </w:rPr>
        <w:t xml:space="preserve"> </w:t>
      </w:r>
      <w:r w:rsidR="009D46B3">
        <w:rPr>
          <w:i/>
          <w:iCs/>
        </w:rPr>
        <w:t>20</w:t>
      </w:r>
      <w:r w:rsidRPr="00445849">
        <w:rPr>
          <w:i/>
          <w:iCs/>
        </w:rPr>
        <w:t>: Úspora energie na vykurovanie po obnove</w:t>
      </w:r>
    </w:p>
    <w:tbl>
      <w:tblPr>
        <w:tblW w:w="9052" w:type="dxa"/>
        <w:tblCellMar>
          <w:left w:w="70" w:type="dxa"/>
          <w:right w:w="70" w:type="dxa"/>
        </w:tblCellMar>
        <w:tblLook w:val="04A0" w:firstRow="1" w:lastRow="0" w:firstColumn="1" w:lastColumn="0" w:noHBand="0" w:noVBand="1"/>
      </w:tblPr>
      <w:tblGrid>
        <w:gridCol w:w="1266"/>
        <w:gridCol w:w="1266"/>
        <w:gridCol w:w="1328"/>
        <w:gridCol w:w="1267"/>
        <w:gridCol w:w="1329"/>
        <w:gridCol w:w="1267"/>
        <w:gridCol w:w="1329"/>
      </w:tblGrid>
      <w:tr w:rsidR="0060033C" w:rsidRPr="0060033C" w14:paraId="6DDB671A" w14:textId="77777777" w:rsidTr="00B754B4">
        <w:trPr>
          <w:trHeight w:val="499"/>
        </w:trPr>
        <w:tc>
          <w:tcPr>
            <w:tcW w:w="1266" w:type="dxa"/>
            <w:vMerge w:val="restart"/>
            <w:tcBorders>
              <w:top w:val="single" w:sz="12" w:space="0" w:color="auto"/>
              <w:left w:val="single" w:sz="12" w:space="0" w:color="auto"/>
              <w:bottom w:val="single" w:sz="8" w:space="0" w:color="000000"/>
              <w:right w:val="single" w:sz="12" w:space="0" w:color="auto"/>
            </w:tcBorders>
            <w:shd w:val="clear" w:color="000000" w:fill="FFFFFF"/>
            <w:noWrap/>
            <w:vAlign w:val="bottom"/>
            <w:hideMark/>
          </w:tcPr>
          <w:p w14:paraId="40D6B514"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 </w:t>
            </w:r>
          </w:p>
        </w:tc>
        <w:tc>
          <w:tcPr>
            <w:tcW w:w="2594"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7ED8EA5"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RD_M</w:t>
            </w:r>
          </w:p>
        </w:tc>
        <w:tc>
          <w:tcPr>
            <w:tcW w:w="2596"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3F860345"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RD_S</w:t>
            </w:r>
          </w:p>
        </w:tc>
        <w:tc>
          <w:tcPr>
            <w:tcW w:w="2596"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33831CE"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RD_V</w:t>
            </w:r>
          </w:p>
        </w:tc>
      </w:tr>
      <w:tr w:rsidR="0060033C" w:rsidRPr="0060033C" w14:paraId="4C24112B" w14:textId="77777777" w:rsidTr="00B754B4">
        <w:trPr>
          <w:trHeight w:val="660"/>
        </w:trPr>
        <w:tc>
          <w:tcPr>
            <w:tcW w:w="1266" w:type="dxa"/>
            <w:vMerge/>
            <w:tcBorders>
              <w:top w:val="single" w:sz="8" w:space="0" w:color="auto"/>
              <w:left w:val="single" w:sz="12" w:space="0" w:color="auto"/>
              <w:bottom w:val="single" w:sz="12" w:space="0" w:color="auto"/>
              <w:right w:val="single" w:sz="12" w:space="0" w:color="auto"/>
            </w:tcBorders>
            <w:vAlign w:val="center"/>
            <w:hideMark/>
          </w:tcPr>
          <w:p w14:paraId="150F444A" w14:textId="77777777" w:rsidR="0060033C" w:rsidRPr="00445849" w:rsidRDefault="0060033C" w:rsidP="0060033C">
            <w:pPr>
              <w:spacing w:after="0" w:line="240" w:lineRule="auto"/>
              <w:rPr>
                <w:rFonts w:eastAsia="Times New Roman" w:cstheme="minorHAnsi"/>
                <w:color w:val="000000"/>
                <w:sz w:val="20"/>
                <w:szCs w:val="20"/>
                <w:lang w:eastAsia="sk-SK"/>
              </w:rPr>
            </w:pPr>
          </w:p>
        </w:tc>
        <w:tc>
          <w:tcPr>
            <w:tcW w:w="1266" w:type="dxa"/>
            <w:tcBorders>
              <w:top w:val="nil"/>
              <w:left w:val="single" w:sz="12" w:space="0" w:color="auto"/>
              <w:bottom w:val="single" w:sz="12" w:space="0" w:color="auto"/>
              <w:right w:val="single" w:sz="4" w:space="0" w:color="auto"/>
            </w:tcBorders>
            <w:shd w:val="clear" w:color="000000" w:fill="FFFFFF"/>
            <w:noWrap/>
            <w:vAlign w:val="center"/>
            <w:hideMark/>
          </w:tcPr>
          <w:p w14:paraId="05BB7778" w14:textId="2390435C" w:rsidR="0060033C" w:rsidRPr="00445849" w:rsidRDefault="00445849"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[kWh/a]</w:t>
            </w:r>
          </w:p>
        </w:tc>
        <w:tc>
          <w:tcPr>
            <w:tcW w:w="1328" w:type="dxa"/>
            <w:tcBorders>
              <w:top w:val="nil"/>
              <w:left w:val="nil"/>
              <w:bottom w:val="single" w:sz="12" w:space="0" w:color="auto"/>
              <w:right w:val="single" w:sz="12" w:space="0" w:color="auto"/>
            </w:tcBorders>
            <w:shd w:val="clear" w:color="000000" w:fill="FFFFFF"/>
            <w:vAlign w:val="center"/>
            <w:hideMark/>
          </w:tcPr>
          <w:p w14:paraId="03E2ECFF"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Percentuálne zníženie</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33AAA12B" w14:textId="4EF758F3" w:rsidR="0060033C" w:rsidRPr="00445849" w:rsidRDefault="00445849"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33F5C0BE"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Percentuálne zníženie</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75F015DB" w14:textId="0E413356" w:rsidR="0060033C" w:rsidRPr="00445849" w:rsidRDefault="00445849"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168374C9"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Percentuálne zníženie</w:t>
            </w:r>
          </w:p>
        </w:tc>
      </w:tr>
      <w:tr w:rsidR="0060033C" w:rsidRPr="0060033C" w14:paraId="7987561A" w14:textId="77777777" w:rsidTr="003310AB">
        <w:trPr>
          <w:trHeight w:val="397"/>
        </w:trPr>
        <w:tc>
          <w:tcPr>
            <w:tcW w:w="126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1EB389C5"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RD_P1-O1</w:t>
            </w:r>
          </w:p>
        </w:tc>
        <w:tc>
          <w:tcPr>
            <w:tcW w:w="126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8B91AAA"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48832,5</w:t>
            </w:r>
          </w:p>
        </w:tc>
        <w:tc>
          <w:tcPr>
            <w:tcW w:w="1328" w:type="dxa"/>
            <w:tcBorders>
              <w:top w:val="single" w:sz="12" w:space="0" w:color="auto"/>
              <w:left w:val="nil"/>
              <w:bottom w:val="single" w:sz="4" w:space="0" w:color="auto"/>
              <w:right w:val="single" w:sz="12" w:space="0" w:color="auto"/>
            </w:tcBorders>
            <w:shd w:val="clear" w:color="000000" w:fill="FFFFFF"/>
            <w:noWrap/>
            <w:vAlign w:val="center"/>
            <w:hideMark/>
          </w:tcPr>
          <w:p w14:paraId="2040CC45"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78%</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70E924BE"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55808,6</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3B337746"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78%</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407381C9"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76773,4</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2A46CF31"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78%</w:t>
            </w:r>
          </w:p>
        </w:tc>
      </w:tr>
      <w:tr w:rsidR="0060033C" w:rsidRPr="0060033C" w14:paraId="08FDD966"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57FF1257"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RD_P1-O2</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6F6F66D9"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55558,3</w:t>
            </w:r>
          </w:p>
        </w:tc>
        <w:tc>
          <w:tcPr>
            <w:tcW w:w="1328" w:type="dxa"/>
            <w:tcBorders>
              <w:top w:val="nil"/>
              <w:left w:val="nil"/>
              <w:bottom w:val="single" w:sz="4" w:space="0" w:color="auto"/>
              <w:right w:val="single" w:sz="12" w:space="0" w:color="auto"/>
            </w:tcBorders>
            <w:shd w:val="clear" w:color="000000" w:fill="FFFFFF"/>
            <w:noWrap/>
            <w:vAlign w:val="center"/>
            <w:hideMark/>
          </w:tcPr>
          <w:p w14:paraId="1FC98B78"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78%</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11F83F28"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63261,4</w:t>
            </w:r>
          </w:p>
        </w:tc>
        <w:tc>
          <w:tcPr>
            <w:tcW w:w="1329" w:type="dxa"/>
            <w:tcBorders>
              <w:top w:val="nil"/>
              <w:left w:val="nil"/>
              <w:bottom w:val="single" w:sz="4" w:space="0" w:color="auto"/>
              <w:right w:val="single" w:sz="12" w:space="0" w:color="auto"/>
            </w:tcBorders>
            <w:shd w:val="clear" w:color="000000" w:fill="FFFFFF"/>
            <w:noWrap/>
            <w:vAlign w:val="center"/>
            <w:hideMark/>
          </w:tcPr>
          <w:p w14:paraId="7B9B9CB9"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78%</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1BD85215"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87341,2</w:t>
            </w:r>
          </w:p>
        </w:tc>
        <w:tc>
          <w:tcPr>
            <w:tcW w:w="1329" w:type="dxa"/>
            <w:tcBorders>
              <w:top w:val="nil"/>
              <w:left w:val="nil"/>
              <w:bottom w:val="single" w:sz="4" w:space="0" w:color="auto"/>
              <w:right w:val="single" w:sz="12" w:space="0" w:color="auto"/>
            </w:tcBorders>
            <w:shd w:val="clear" w:color="000000" w:fill="FFFFFF"/>
            <w:noWrap/>
            <w:vAlign w:val="center"/>
            <w:hideMark/>
          </w:tcPr>
          <w:p w14:paraId="54D1A042"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78%</w:t>
            </w:r>
          </w:p>
        </w:tc>
      </w:tr>
      <w:tr w:rsidR="0060033C" w:rsidRPr="0060033C" w14:paraId="1EBC7E2A" w14:textId="77777777" w:rsidTr="003310AB">
        <w:trPr>
          <w:trHeight w:val="397"/>
        </w:trPr>
        <w:tc>
          <w:tcPr>
            <w:tcW w:w="1266" w:type="dxa"/>
            <w:tcBorders>
              <w:top w:val="nil"/>
              <w:left w:val="single" w:sz="12" w:space="0" w:color="auto"/>
              <w:bottom w:val="single" w:sz="8" w:space="0" w:color="auto"/>
              <w:right w:val="single" w:sz="12" w:space="0" w:color="auto"/>
            </w:tcBorders>
            <w:shd w:val="clear" w:color="000000" w:fill="FFFFFF"/>
            <w:vAlign w:val="center"/>
            <w:hideMark/>
          </w:tcPr>
          <w:p w14:paraId="0D89D43B" w14:textId="2FDFC00C"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RD_P1</w:t>
            </w:r>
            <w:r w:rsidR="00B754B4" w:rsidRPr="00445849">
              <w:rPr>
                <w:rFonts w:eastAsia="Times New Roman" w:cstheme="minorHAnsi"/>
                <w:color w:val="000000"/>
                <w:sz w:val="20"/>
                <w:szCs w:val="20"/>
                <w:lang w:eastAsia="sk-SK"/>
              </w:rPr>
              <w:t>-</w:t>
            </w:r>
            <w:r w:rsidRPr="00445849">
              <w:rPr>
                <w:rFonts w:eastAsia="Times New Roman" w:cstheme="minorHAnsi"/>
                <w:color w:val="000000"/>
                <w:sz w:val="20"/>
                <w:szCs w:val="20"/>
                <w:lang w:eastAsia="sk-SK"/>
              </w:rPr>
              <w:t>O3</w:t>
            </w:r>
          </w:p>
        </w:tc>
        <w:tc>
          <w:tcPr>
            <w:tcW w:w="1266" w:type="dxa"/>
            <w:tcBorders>
              <w:top w:val="nil"/>
              <w:left w:val="single" w:sz="12" w:space="0" w:color="auto"/>
              <w:bottom w:val="single" w:sz="8" w:space="0" w:color="auto"/>
              <w:right w:val="single" w:sz="4" w:space="0" w:color="auto"/>
            </w:tcBorders>
            <w:shd w:val="clear" w:color="000000" w:fill="FFFFFF"/>
            <w:noWrap/>
            <w:vAlign w:val="center"/>
            <w:hideMark/>
          </w:tcPr>
          <w:p w14:paraId="7B9F9B6B"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56275,0</w:t>
            </w:r>
          </w:p>
        </w:tc>
        <w:tc>
          <w:tcPr>
            <w:tcW w:w="1328" w:type="dxa"/>
            <w:tcBorders>
              <w:top w:val="nil"/>
              <w:left w:val="nil"/>
              <w:bottom w:val="single" w:sz="4" w:space="0" w:color="auto"/>
              <w:right w:val="single" w:sz="12" w:space="0" w:color="auto"/>
            </w:tcBorders>
            <w:shd w:val="clear" w:color="000000" w:fill="FFFFFF"/>
            <w:noWrap/>
            <w:vAlign w:val="center"/>
            <w:hideMark/>
          </w:tcPr>
          <w:p w14:paraId="351A5CB8"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82%</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4F63DAA1"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63989,0</w:t>
            </w:r>
          </w:p>
        </w:tc>
        <w:tc>
          <w:tcPr>
            <w:tcW w:w="1329" w:type="dxa"/>
            <w:tcBorders>
              <w:top w:val="nil"/>
              <w:left w:val="nil"/>
              <w:bottom w:val="single" w:sz="4" w:space="0" w:color="auto"/>
              <w:right w:val="single" w:sz="12" w:space="0" w:color="auto"/>
            </w:tcBorders>
            <w:shd w:val="clear" w:color="000000" w:fill="FFFFFF"/>
            <w:noWrap/>
            <w:vAlign w:val="center"/>
            <w:hideMark/>
          </w:tcPr>
          <w:p w14:paraId="44C73FE2"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82%</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2AEAA26F"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89280,8</w:t>
            </w:r>
          </w:p>
        </w:tc>
        <w:tc>
          <w:tcPr>
            <w:tcW w:w="1329" w:type="dxa"/>
            <w:tcBorders>
              <w:top w:val="nil"/>
              <w:left w:val="nil"/>
              <w:bottom w:val="single" w:sz="4" w:space="0" w:color="auto"/>
              <w:right w:val="single" w:sz="12" w:space="0" w:color="auto"/>
            </w:tcBorders>
            <w:shd w:val="clear" w:color="000000" w:fill="FFFFFF"/>
            <w:noWrap/>
            <w:vAlign w:val="center"/>
            <w:hideMark/>
          </w:tcPr>
          <w:p w14:paraId="0666544B"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86%</w:t>
            </w:r>
          </w:p>
        </w:tc>
      </w:tr>
      <w:tr w:rsidR="0060033C" w:rsidRPr="0060033C" w14:paraId="3E165F73"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4040DE96"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RD_P2-O1</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13A7E55B"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27207,0</w:t>
            </w:r>
          </w:p>
        </w:tc>
        <w:tc>
          <w:tcPr>
            <w:tcW w:w="1328" w:type="dxa"/>
            <w:tcBorders>
              <w:top w:val="single" w:sz="8" w:space="0" w:color="auto"/>
              <w:left w:val="nil"/>
              <w:bottom w:val="single" w:sz="4" w:space="0" w:color="auto"/>
              <w:right w:val="single" w:sz="12" w:space="0" w:color="auto"/>
            </w:tcBorders>
            <w:shd w:val="clear" w:color="000000" w:fill="FFFFFF"/>
            <w:noWrap/>
            <w:vAlign w:val="center"/>
            <w:hideMark/>
          </w:tcPr>
          <w:p w14:paraId="2B1684C3"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69%</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19F0093B"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31178,3</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289ECE7D"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6F6451C5"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43176,7</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76A1F3E4"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69%</w:t>
            </w:r>
          </w:p>
        </w:tc>
      </w:tr>
      <w:tr w:rsidR="0060033C" w:rsidRPr="0060033C" w14:paraId="374B3A39"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7B588EB9"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RD_P2-O2</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0F684825"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33932,8</w:t>
            </w:r>
          </w:p>
        </w:tc>
        <w:tc>
          <w:tcPr>
            <w:tcW w:w="1328" w:type="dxa"/>
            <w:tcBorders>
              <w:top w:val="nil"/>
              <w:left w:val="nil"/>
              <w:bottom w:val="single" w:sz="4" w:space="0" w:color="auto"/>
              <w:right w:val="single" w:sz="12" w:space="0" w:color="auto"/>
            </w:tcBorders>
            <w:shd w:val="clear" w:color="000000" w:fill="FFFFFF"/>
            <w:noWrap/>
            <w:vAlign w:val="center"/>
            <w:hideMark/>
          </w:tcPr>
          <w:p w14:paraId="2EA46D83"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69%</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750A0BA9"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38631,1</w:t>
            </w:r>
          </w:p>
        </w:tc>
        <w:tc>
          <w:tcPr>
            <w:tcW w:w="1329" w:type="dxa"/>
            <w:tcBorders>
              <w:top w:val="nil"/>
              <w:left w:val="nil"/>
              <w:bottom w:val="single" w:sz="4" w:space="0" w:color="auto"/>
              <w:right w:val="single" w:sz="12" w:space="0" w:color="auto"/>
            </w:tcBorders>
            <w:shd w:val="clear" w:color="000000" w:fill="FFFFFF"/>
            <w:noWrap/>
            <w:vAlign w:val="center"/>
            <w:hideMark/>
          </w:tcPr>
          <w:p w14:paraId="1D6E40C4"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29B7681C"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53744,6</w:t>
            </w:r>
          </w:p>
        </w:tc>
        <w:tc>
          <w:tcPr>
            <w:tcW w:w="1329" w:type="dxa"/>
            <w:tcBorders>
              <w:top w:val="nil"/>
              <w:left w:val="nil"/>
              <w:bottom w:val="single" w:sz="4" w:space="0" w:color="auto"/>
              <w:right w:val="single" w:sz="12" w:space="0" w:color="auto"/>
            </w:tcBorders>
            <w:shd w:val="clear" w:color="000000" w:fill="FFFFFF"/>
            <w:noWrap/>
            <w:vAlign w:val="center"/>
            <w:hideMark/>
          </w:tcPr>
          <w:p w14:paraId="7C21C9E4"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69%</w:t>
            </w:r>
          </w:p>
        </w:tc>
      </w:tr>
      <w:tr w:rsidR="0060033C" w:rsidRPr="0060033C" w14:paraId="0C123AA1" w14:textId="77777777" w:rsidTr="003310AB">
        <w:trPr>
          <w:trHeight w:val="397"/>
        </w:trPr>
        <w:tc>
          <w:tcPr>
            <w:tcW w:w="1266" w:type="dxa"/>
            <w:tcBorders>
              <w:top w:val="nil"/>
              <w:left w:val="single" w:sz="12" w:space="0" w:color="auto"/>
              <w:bottom w:val="single" w:sz="8" w:space="0" w:color="auto"/>
              <w:right w:val="single" w:sz="12" w:space="0" w:color="auto"/>
            </w:tcBorders>
            <w:shd w:val="clear" w:color="000000" w:fill="FFFFFF"/>
            <w:vAlign w:val="center"/>
            <w:hideMark/>
          </w:tcPr>
          <w:p w14:paraId="5C056310"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RD_P2-O3</w:t>
            </w:r>
          </w:p>
        </w:tc>
        <w:tc>
          <w:tcPr>
            <w:tcW w:w="1266" w:type="dxa"/>
            <w:tcBorders>
              <w:top w:val="nil"/>
              <w:left w:val="single" w:sz="12" w:space="0" w:color="auto"/>
              <w:bottom w:val="single" w:sz="8" w:space="0" w:color="auto"/>
              <w:right w:val="single" w:sz="4" w:space="0" w:color="auto"/>
            </w:tcBorders>
            <w:shd w:val="clear" w:color="000000" w:fill="FFFFFF"/>
            <w:noWrap/>
            <w:vAlign w:val="center"/>
            <w:hideMark/>
          </w:tcPr>
          <w:p w14:paraId="55B64C28"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34649,6</w:t>
            </w:r>
          </w:p>
        </w:tc>
        <w:tc>
          <w:tcPr>
            <w:tcW w:w="1328" w:type="dxa"/>
            <w:tcBorders>
              <w:top w:val="nil"/>
              <w:left w:val="nil"/>
              <w:bottom w:val="single" w:sz="4" w:space="0" w:color="auto"/>
              <w:right w:val="single" w:sz="12" w:space="0" w:color="auto"/>
            </w:tcBorders>
            <w:shd w:val="clear" w:color="000000" w:fill="FFFFFF"/>
            <w:noWrap/>
            <w:vAlign w:val="center"/>
            <w:hideMark/>
          </w:tcPr>
          <w:p w14:paraId="4D947139"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76%</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52C8779D"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39358,7</w:t>
            </w:r>
          </w:p>
        </w:tc>
        <w:tc>
          <w:tcPr>
            <w:tcW w:w="1329" w:type="dxa"/>
            <w:tcBorders>
              <w:top w:val="nil"/>
              <w:left w:val="nil"/>
              <w:bottom w:val="single" w:sz="4" w:space="0" w:color="auto"/>
              <w:right w:val="single" w:sz="12" w:space="0" w:color="auto"/>
            </w:tcBorders>
            <w:shd w:val="clear" w:color="000000" w:fill="FFFFFF"/>
            <w:noWrap/>
            <w:vAlign w:val="center"/>
            <w:hideMark/>
          </w:tcPr>
          <w:p w14:paraId="6FA1AF0E"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76%</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28C590F1"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55684,1</w:t>
            </w:r>
          </w:p>
        </w:tc>
        <w:tc>
          <w:tcPr>
            <w:tcW w:w="1329" w:type="dxa"/>
            <w:tcBorders>
              <w:top w:val="nil"/>
              <w:left w:val="nil"/>
              <w:bottom w:val="single" w:sz="4" w:space="0" w:color="auto"/>
              <w:right w:val="single" w:sz="12" w:space="0" w:color="auto"/>
            </w:tcBorders>
            <w:shd w:val="clear" w:color="000000" w:fill="FFFFFF"/>
            <w:noWrap/>
            <w:vAlign w:val="center"/>
            <w:hideMark/>
          </w:tcPr>
          <w:p w14:paraId="3E5633E9"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81%</w:t>
            </w:r>
          </w:p>
        </w:tc>
      </w:tr>
      <w:tr w:rsidR="0060033C" w:rsidRPr="0060033C" w14:paraId="544B854D"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325FE2D1"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RD_P3-O1</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238D4BD6"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12616,7</w:t>
            </w:r>
          </w:p>
        </w:tc>
        <w:tc>
          <w:tcPr>
            <w:tcW w:w="1328" w:type="dxa"/>
            <w:tcBorders>
              <w:top w:val="single" w:sz="8" w:space="0" w:color="auto"/>
              <w:left w:val="nil"/>
              <w:bottom w:val="single" w:sz="4" w:space="0" w:color="auto"/>
              <w:right w:val="single" w:sz="12" w:space="0" w:color="auto"/>
            </w:tcBorders>
            <w:shd w:val="clear" w:color="000000" w:fill="FFFFFF"/>
            <w:noWrap/>
            <w:vAlign w:val="center"/>
            <w:hideMark/>
          </w:tcPr>
          <w:p w14:paraId="7EA31765"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59%</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51C588E8"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16868,9</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22221901"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63%</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11260459"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23772,7</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7A817AA8"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63%</w:t>
            </w:r>
          </w:p>
        </w:tc>
      </w:tr>
      <w:tr w:rsidR="0060033C" w:rsidRPr="0060033C" w14:paraId="6AEDA498"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7045C7FE"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RD_P3-O2</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40164021"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19342,6</w:t>
            </w:r>
          </w:p>
        </w:tc>
        <w:tc>
          <w:tcPr>
            <w:tcW w:w="1328" w:type="dxa"/>
            <w:tcBorders>
              <w:top w:val="nil"/>
              <w:left w:val="nil"/>
              <w:bottom w:val="single" w:sz="4" w:space="0" w:color="auto"/>
              <w:right w:val="single" w:sz="12" w:space="0" w:color="auto"/>
            </w:tcBorders>
            <w:shd w:val="clear" w:color="000000" w:fill="FFFFFF"/>
            <w:noWrap/>
            <w:vAlign w:val="center"/>
            <w:hideMark/>
          </w:tcPr>
          <w:p w14:paraId="30A6F859"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59%</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10923751"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24321,7</w:t>
            </w:r>
          </w:p>
        </w:tc>
        <w:tc>
          <w:tcPr>
            <w:tcW w:w="1329" w:type="dxa"/>
            <w:tcBorders>
              <w:top w:val="nil"/>
              <w:left w:val="nil"/>
              <w:bottom w:val="single" w:sz="4" w:space="0" w:color="auto"/>
              <w:right w:val="single" w:sz="12" w:space="0" w:color="auto"/>
            </w:tcBorders>
            <w:shd w:val="clear" w:color="000000" w:fill="FFFFFF"/>
            <w:noWrap/>
            <w:vAlign w:val="center"/>
            <w:hideMark/>
          </w:tcPr>
          <w:p w14:paraId="5460CEC1"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63%</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20E8A206"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34340,5</w:t>
            </w:r>
          </w:p>
        </w:tc>
        <w:tc>
          <w:tcPr>
            <w:tcW w:w="1329" w:type="dxa"/>
            <w:tcBorders>
              <w:top w:val="nil"/>
              <w:left w:val="nil"/>
              <w:bottom w:val="single" w:sz="4" w:space="0" w:color="auto"/>
              <w:right w:val="single" w:sz="12" w:space="0" w:color="auto"/>
            </w:tcBorders>
            <w:shd w:val="clear" w:color="000000" w:fill="FFFFFF"/>
            <w:noWrap/>
            <w:vAlign w:val="center"/>
            <w:hideMark/>
          </w:tcPr>
          <w:p w14:paraId="179C86D7"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63%</w:t>
            </w:r>
          </w:p>
        </w:tc>
      </w:tr>
      <w:tr w:rsidR="0060033C" w:rsidRPr="0060033C" w14:paraId="0F47C792" w14:textId="77777777" w:rsidTr="003310AB">
        <w:trPr>
          <w:trHeight w:val="397"/>
        </w:trPr>
        <w:tc>
          <w:tcPr>
            <w:tcW w:w="1266" w:type="dxa"/>
            <w:tcBorders>
              <w:top w:val="nil"/>
              <w:left w:val="single" w:sz="12" w:space="0" w:color="auto"/>
              <w:bottom w:val="single" w:sz="12" w:space="0" w:color="auto"/>
              <w:right w:val="single" w:sz="12" w:space="0" w:color="auto"/>
            </w:tcBorders>
            <w:shd w:val="clear" w:color="000000" w:fill="FFFFFF"/>
            <w:vAlign w:val="center"/>
            <w:hideMark/>
          </w:tcPr>
          <w:p w14:paraId="39D047CA" w14:textId="77777777" w:rsidR="0060033C" w:rsidRPr="00445849" w:rsidRDefault="0060033C" w:rsidP="0060033C">
            <w:pPr>
              <w:spacing w:after="0" w:line="240" w:lineRule="auto"/>
              <w:rPr>
                <w:rFonts w:eastAsia="Times New Roman" w:cstheme="minorHAnsi"/>
                <w:color w:val="000000"/>
                <w:sz w:val="20"/>
                <w:szCs w:val="20"/>
                <w:lang w:eastAsia="sk-SK"/>
              </w:rPr>
            </w:pPr>
            <w:r w:rsidRPr="00445849">
              <w:rPr>
                <w:rFonts w:eastAsia="Times New Roman" w:cstheme="minorHAnsi"/>
                <w:color w:val="000000"/>
                <w:sz w:val="20"/>
                <w:szCs w:val="20"/>
                <w:lang w:eastAsia="sk-SK"/>
              </w:rPr>
              <w:t>RD_P3-O3</w:t>
            </w:r>
          </w:p>
        </w:tc>
        <w:tc>
          <w:tcPr>
            <w:tcW w:w="1266" w:type="dxa"/>
            <w:tcBorders>
              <w:top w:val="nil"/>
              <w:left w:val="single" w:sz="12" w:space="0" w:color="auto"/>
              <w:bottom w:val="single" w:sz="12" w:space="0" w:color="auto"/>
              <w:right w:val="single" w:sz="4" w:space="0" w:color="auto"/>
            </w:tcBorders>
            <w:shd w:val="clear" w:color="000000" w:fill="FFFFFF"/>
            <w:noWrap/>
            <w:vAlign w:val="center"/>
            <w:hideMark/>
          </w:tcPr>
          <w:p w14:paraId="065EF1DE"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20059,3</w:t>
            </w:r>
          </w:p>
        </w:tc>
        <w:tc>
          <w:tcPr>
            <w:tcW w:w="1328" w:type="dxa"/>
            <w:tcBorders>
              <w:top w:val="nil"/>
              <w:left w:val="nil"/>
              <w:bottom w:val="single" w:sz="12" w:space="0" w:color="auto"/>
              <w:right w:val="single" w:sz="12" w:space="0" w:color="auto"/>
            </w:tcBorders>
            <w:shd w:val="clear" w:color="000000" w:fill="FFFFFF"/>
            <w:noWrap/>
            <w:vAlign w:val="center"/>
            <w:hideMark/>
          </w:tcPr>
          <w:p w14:paraId="03719131"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68%</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36DBB97A"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25049,2</w:t>
            </w:r>
          </w:p>
        </w:tc>
        <w:tc>
          <w:tcPr>
            <w:tcW w:w="1329" w:type="dxa"/>
            <w:tcBorders>
              <w:top w:val="nil"/>
              <w:left w:val="nil"/>
              <w:bottom w:val="single" w:sz="12" w:space="0" w:color="auto"/>
              <w:right w:val="single" w:sz="12" w:space="0" w:color="auto"/>
            </w:tcBorders>
            <w:shd w:val="clear" w:color="000000" w:fill="FFFFFF"/>
            <w:noWrap/>
            <w:vAlign w:val="center"/>
            <w:hideMark/>
          </w:tcPr>
          <w:p w14:paraId="26674B66"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71%</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63C445DE" w14:textId="77777777" w:rsidR="0060033C" w:rsidRPr="00445849" w:rsidRDefault="0060033C" w:rsidP="0060033C">
            <w:pPr>
              <w:spacing w:after="0" w:line="240" w:lineRule="auto"/>
              <w:jc w:val="center"/>
              <w:rPr>
                <w:rFonts w:eastAsia="Times New Roman" w:cstheme="minorHAnsi"/>
                <w:b/>
                <w:bCs/>
                <w:color w:val="000000"/>
                <w:sz w:val="20"/>
                <w:szCs w:val="20"/>
                <w:lang w:eastAsia="sk-SK"/>
              </w:rPr>
            </w:pPr>
            <w:r w:rsidRPr="00445849">
              <w:rPr>
                <w:rFonts w:eastAsia="Times New Roman" w:cstheme="minorHAnsi"/>
                <w:b/>
                <w:bCs/>
                <w:color w:val="000000"/>
                <w:sz w:val="20"/>
                <w:szCs w:val="20"/>
                <w:lang w:eastAsia="sk-SK"/>
              </w:rPr>
              <w:t>36280,1</w:t>
            </w:r>
          </w:p>
        </w:tc>
        <w:tc>
          <w:tcPr>
            <w:tcW w:w="1329" w:type="dxa"/>
            <w:tcBorders>
              <w:top w:val="nil"/>
              <w:left w:val="nil"/>
              <w:bottom w:val="single" w:sz="12" w:space="0" w:color="auto"/>
              <w:right w:val="single" w:sz="12" w:space="0" w:color="auto"/>
            </w:tcBorders>
            <w:shd w:val="clear" w:color="000000" w:fill="FFFFFF"/>
            <w:noWrap/>
            <w:vAlign w:val="center"/>
            <w:hideMark/>
          </w:tcPr>
          <w:p w14:paraId="7BB9503A" w14:textId="77777777" w:rsidR="0060033C" w:rsidRPr="00445849" w:rsidRDefault="0060033C" w:rsidP="0060033C">
            <w:pPr>
              <w:spacing w:after="0" w:line="240" w:lineRule="auto"/>
              <w:jc w:val="center"/>
              <w:rPr>
                <w:rFonts w:eastAsia="Times New Roman" w:cstheme="minorHAnsi"/>
                <w:color w:val="000000"/>
                <w:sz w:val="20"/>
                <w:szCs w:val="20"/>
                <w:lang w:eastAsia="sk-SK"/>
              </w:rPr>
            </w:pPr>
            <w:r w:rsidRPr="00445849">
              <w:rPr>
                <w:rFonts w:eastAsia="Times New Roman" w:cstheme="minorHAnsi"/>
                <w:color w:val="000000"/>
                <w:sz w:val="20"/>
                <w:szCs w:val="20"/>
                <w:lang w:eastAsia="sk-SK"/>
              </w:rPr>
              <w:t>77%</w:t>
            </w:r>
          </w:p>
        </w:tc>
      </w:tr>
    </w:tbl>
    <w:p w14:paraId="0FAD77FD" w14:textId="6B3C028F" w:rsidR="00391A78" w:rsidRDefault="00391A78" w:rsidP="00254997">
      <w:pPr>
        <w:pStyle w:val="Nadpis2"/>
        <w:numPr>
          <w:ilvl w:val="1"/>
          <w:numId w:val="14"/>
        </w:numPr>
        <w:ind w:left="357" w:hanging="357"/>
      </w:pPr>
      <w:bookmarkStart w:id="18" w:name="_Toc62576777"/>
      <w:r>
        <w:lastRenderedPageBreak/>
        <w:t>Úspora energie na prípravu T</w:t>
      </w:r>
      <w:r w:rsidR="0060033C">
        <w:t>Ú</w:t>
      </w:r>
      <w:r>
        <w:t>V</w:t>
      </w:r>
      <w:bookmarkEnd w:id="18"/>
    </w:p>
    <w:p w14:paraId="783B1976" w14:textId="7CC1E7D6" w:rsidR="00D774AD" w:rsidRPr="00D774AD" w:rsidRDefault="00D774AD" w:rsidP="00D774AD">
      <w:pPr>
        <w:jc w:val="both"/>
      </w:pPr>
      <w:r>
        <w:t>Úspora energie na prípravu TÚV je vypočítan</w:t>
      </w:r>
      <w:r w:rsidR="00E320AA">
        <w:t>á</w:t>
      </w:r>
      <w:r>
        <w:t xml:space="preserve"> ako rozdiel potreby energie pred obnovou a po obnove. Úspora energie dosahuje zníženie od 20 % pri najkonzervatívnejšej obnove po 80 % pri tej najambicióznejšej.</w:t>
      </w:r>
    </w:p>
    <w:p w14:paraId="36456FE4" w14:textId="0C141CB2" w:rsidR="0060033C" w:rsidRPr="00445849" w:rsidRDefault="0060033C" w:rsidP="0060033C">
      <w:pPr>
        <w:spacing w:before="120" w:after="120"/>
        <w:rPr>
          <w:i/>
          <w:iCs/>
        </w:rPr>
      </w:pPr>
      <w:r w:rsidRPr="00445849">
        <w:rPr>
          <w:i/>
          <w:iCs/>
        </w:rPr>
        <w:t>Tab</w:t>
      </w:r>
      <w:r w:rsidR="00445849" w:rsidRPr="00445849">
        <w:rPr>
          <w:i/>
          <w:iCs/>
        </w:rPr>
        <w:t>.</w:t>
      </w:r>
      <w:r w:rsidRPr="00445849">
        <w:rPr>
          <w:i/>
          <w:iCs/>
        </w:rPr>
        <w:t xml:space="preserve"> </w:t>
      </w:r>
      <w:r w:rsidR="00445849" w:rsidRPr="00445849">
        <w:rPr>
          <w:i/>
          <w:iCs/>
        </w:rPr>
        <w:t>2</w:t>
      </w:r>
      <w:r w:rsidR="009D46B3">
        <w:rPr>
          <w:i/>
          <w:iCs/>
        </w:rPr>
        <w:t>1</w:t>
      </w:r>
      <w:r w:rsidRPr="00445849">
        <w:rPr>
          <w:i/>
          <w:iCs/>
        </w:rPr>
        <w:t>: Úspora energie na prípravu TÚV po obnove</w:t>
      </w:r>
    </w:p>
    <w:tbl>
      <w:tblPr>
        <w:tblW w:w="9052" w:type="dxa"/>
        <w:tblCellMar>
          <w:left w:w="70" w:type="dxa"/>
          <w:right w:w="70" w:type="dxa"/>
        </w:tblCellMar>
        <w:tblLook w:val="04A0" w:firstRow="1" w:lastRow="0" w:firstColumn="1" w:lastColumn="0" w:noHBand="0" w:noVBand="1"/>
      </w:tblPr>
      <w:tblGrid>
        <w:gridCol w:w="1266"/>
        <w:gridCol w:w="1266"/>
        <w:gridCol w:w="1328"/>
        <w:gridCol w:w="1267"/>
        <w:gridCol w:w="1329"/>
        <w:gridCol w:w="1267"/>
        <w:gridCol w:w="1329"/>
      </w:tblGrid>
      <w:tr w:rsidR="0060033C" w:rsidRPr="0060033C" w14:paraId="3ECD445F" w14:textId="77777777" w:rsidTr="00B754B4">
        <w:trPr>
          <w:trHeight w:val="499"/>
        </w:trPr>
        <w:tc>
          <w:tcPr>
            <w:tcW w:w="1266" w:type="dxa"/>
            <w:vMerge w:val="restart"/>
            <w:tcBorders>
              <w:top w:val="single" w:sz="12" w:space="0" w:color="auto"/>
              <w:left w:val="single" w:sz="12" w:space="0" w:color="auto"/>
              <w:bottom w:val="single" w:sz="8" w:space="0" w:color="000000"/>
              <w:right w:val="single" w:sz="12" w:space="0" w:color="auto"/>
            </w:tcBorders>
            <w:shd w:val="clear" w:color="000000" w:fill="FFFFFF"/>
            <w:noWrap/>
            <w:vAlign w:val="bottom"/>
            <w:hideMark/>
          </w:tcPr>
          <w:p w14:paraId="3D228492"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 </w:t>
            </w:r>
          </w:p>
        </w:tc>
        <w:tc>
          <w:tcPr>
            <w:tcW w:w="2594"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0449F97"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RD_M</w:t>
            </w:r>
          </w:p>
        </w:tc>
        <w:tc>
          <w:tcPr>
            <w:tcW w:w="2596"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3AB59CC"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RD_S</w:t>
            </w:r>
          </w:p>
        </w:tc>
        <w:tc>
          <w:tcPr>
            <w:tcW w:w="2596"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2FA096FD"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RD_V</w:t>
            </w:r>
          </w:p>
        </w:tc>
      </w:tr>
      <w:tr w:rsidR="0060033C" w:rsidRPr="0060033C" w14:paraId="7B54F2FC" w14:textId="77777777" w:rsidTr="00B754B4">
        <w:trPr>
          <w:trHeight w:val="690"/>
        </w:trPr>
        <w:tc>
          <w:tcPr>
            <w:tcW w:w="1266" w:type="dxa"/>
            <w:vMerge/>
            <w:tcBorders>
              <w:top w:val="single" w:sz="8" w:space="0" w:color="auto"/>
              <w:left w:val="single" w:sz="12" w:space="0" w:color="auto"/>
              <w:bottom w:val="single" w:sz="12" w:space="0" w:color="auto"/>
              <w:right w:val="single" w:sz="12" w:space="0" w:color="auto"/>
            </w:tcBorders>
            <w:vAlign w:val="center"/>
            <w:hideMark/>
          </w:tcPr>
          <w:p w14:paraId="63C4CFE5"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p>
        </w:tc>
        <w:tc>
          <w:tcPr>
            <w:tcW w:w="1266" w:type="dxa"/>
            <w:tcBorders>
              <w:top w:val="nil"/>
              <w:left w:val="single" w:sz="12" w:space="0" w:color="auto"/>
              <w:bottom w:val="single" w:sz="12" w:space="0" w:color="auto"/>
              <w:right w:val="single" w:sz="4" w:space="0" w:color="auto"/>
            </w:tcBorders>
            <w:shd w:val="clear" w:color="000000" w:fill="FFFFFF"/>
            <w:noWrap/>
            <w:vAlign w:val="center"/>
            <w:hideMark/>
          </w:tcPr>
          <w:p w14:paraId="106866CD" w14:textId="64D9A4CF" w:rsidR="0060033C" w:rsidRPr="00EE2892" w:rsidRDefault="00E241C3"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28" w:type="dxa"/>
            <w:tcBorders>
              <w:top w:val="nil"/>
              <w:left w:val="nil"/>
              <w:bottom w:val="single" w:sz="12" w:space="0" w:color="auto"/>
              <w:right w:val="single" w:sz="12" w:space="0" w:color="auto"/>
            </w:tcBorders>
            <w:shd w:val="clear" w:color="000000" w:fill="FFFFFF"/>
            <w:vAlign w:val="center"/>
            <w:hideMark/>
          </w:tcPr>
          <w:p w14:paraId="103C7B73"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Percentuálne zníženie</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7B58AE5C" w14:textId="38A8FA4D" w:rsidR="0060033C" w:rsidRPr="00EE2892" w:rsidRDefault="00E241C3"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1425F97C"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Percentuálne zníženie</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0FE0B97B" w14:textId="5559F9D6" w:rsidR="0060033C" w:rsidRPr="00EE2892" w:rsidRDefault="00E241C3" w:rsidP="0060033C">
            <w:pPr>
              <w:spacing w:after="0" w:line="240" w:lineRule="auto"/>
              <w:jc w:val="center"/>
              <w:rPr>
                <w:rFonts w:ascii="Calibri" w:eastAsia="Times New Roman" w:hAnsi="Calibri" w:cs="Times New Roman"/>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3B385656"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Percentuálne zníženie</w:t>
            </w:r>
          </w:p>
        </w:tc>
      </w:tr>
      <w:tr w:rsidR="0060033C" w:rsidRPr="0060033C" w14:paraId="369ED2A5" w14:textId="77777777" w:rsidTr="003310AB">
        <w:trPr>
          <w:trHeight w:val="397"/>
        </w:trPr>
        <w:tc>
          <w:tcPr>
            <w:tcW w:w="126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04FAB446"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RD_P1-O1</w:t>
            </w:r>
          </w:p>
        </w:tc>
        <w:tc>
          <w:tcPr>
            <w:tcW w:w="1266"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0E28553"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3564,0</w:t>
            </w:r>
          </w:p>
        </w:tc>
        <w:tc>
          <w:tcPr>
            <w:tcW w:w="1328" w:type="dxa"/>
            <w:tcBorders>
              <w:top w:val="single" w:sz="12" w:space="0" w:color="auto"/>
              <w:left w:val="nil"/>
              <w:bottom w:val="single" w:sz="4" w:space="0" w:color="auto"/>
              <w:right w:val="single" w:sz="12" w:space="0" w:color="auto"/>
            </w:tcBorders>
            <w:shd w:val="clear" w:color="000000" w:fill="FFFFFF"/>
            <w:noWrap/>
            <w:vAlign w:val="center"/>
            <w:hideMark/>
          </w:tcPr>
          <w:p w14:paraId="2D2174DB"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778CB5C5"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4744,8</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6C2639F4"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18A3B5B"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7524,0</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7F13D351"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r>
      <w:tr w:rsidR="0060033C" w:rsidRPr="0060033C" w14:paraId="78D231A1"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0603E67A"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RD_P1-O2</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5EAD8453"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4752,0</w:t>
            </w:r>
          </w:p>
        </w:tc>
        <w:tc>
          <w:tcPr>
            <w:tcW w:w="1328" w:type="dxa"/>
            <w:tcBorders>
              <w:top w:val="nil"/>
              <w:left w:val="nil"/>
              <w:bottom w:val="single" w:sz="4" w:space="0" w:color="auto"/>
              <w:right w:val="single" w:sz="12" w:space="0" w:color="auto"/>
            </w:tcBorders>
            <w:shd w:val="clear" w:color="000000" w:fill="FFFFFF"/>
            <w:noWrap/>
            <w:vAlign w:val="center"/>
            <w:hideMark/>
          </w:tcPr>
          <w:p w14:paraId="41BA5239"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80%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23F12808"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6326,4</w:t>
            </w:r>
          </w:p>
        </w:tc>
        <w:tc>
          <w:tcPr>
            <w:tcW w:w="1329" w:type="dxa"/>
            <w:tcBorders>
              <w:top w:val="nil"/>
              <w:left w:val="nil"/>
              <w:bottom w:val="single" w:sz="4" w:space="0" w:color="auto"/>
              <w:right w:val="single" w:sz="12" w:space="0" w:color="auto"/>
            </w:tcBorders>
            <w:shd w:val="clear" w:color="000000" w:fill="FFFFFF"/>
            <w:noWrap/>
            <w:vAlign w:val="center"/>
            <w:hideMark/>
          </w:tcPr>
          <w:p w14:paraId="75996DC8"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80%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1A157850"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10032,0</w:t>
            </w:r>
          </w:p>
        </w:tc>
        <w:tc>
          <w:tcPr>
            <w:tcW w:w="1329" w:type="dxa"/>
            <w:tcBorders>
              <w:top w:val="nil"/>
              <w:left w:val="nil"/>
              <w:bottom w:val="single" w:sz="4" w:space="0" w:color="auto"/>
              <w:right w:val="single" w:sz="12" w:space="0" w:color="auto"/>
            </w:tcBorders>
            <w:shd w:val="clear" w:color="000000" w:fill="FFFFFF"/>
            <w:noWrap/>
            <w:vAlign w:val="center"/>
            <w:hideMark/>
          </w:tcPr>
          <w:p w14:paraId="44B542D8"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80%</w:t>
            </w:r>
          </w:p>
        </w:tc>
      </w:tr>
      <w:tr w:rsidR="0060033C" w:rsidRPr="0060033C" w14:paraId="76430C48" w14:textId="77777777" w:rsidTr="003310AB">
        <w:trPr>
          <w:trHeight w:val="397"/>
        </w:trPr>
        <w:tc>
          <w:tcPr>
            <w:tcW w:w="1266" w:type="dxa"/>
            <w:tcBorders>
              <w:top w:val="nil"/>
              <w:left w:val="single" w:sz="12" w:space="0" w:color="auto"/>
              <w:bottom w:val="single" w:sz="8" w:space="0" w:color="auto"/>
              <w:right w:val="single" w:sz="12" w:space="0" w:color="auto"/>
            </w:tcBorders>
            <w:shd w:val="clear" w:color="000000" w:fill="FFFFFF"/>
            <w:vAlign w:val="center"/>
            <w:hideMark/>
          </w:tcPr>
          <w:p w14:paraId="32C6F389"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RD_P1_O3</w:t>
            </w:r>
          </w:p>
        </w:tc>
        <w:tc>
          <w:tcPr>
            <w:tcW w:w="1266" w:type="dxa"/>
            <w:tcBorders>
              <w:top w:val="nil"/>
              <w:left w:val="single" w:sz="12" w:space="0" w:color="auto"/>
              <w:bottom w:val="single" w:sz="8" w:space="0" w:color="auto"/>
              <w:right w:val="single" w:sz="4" w:space="0" w:color="auto"/>
            </w:tcBorders>
            <w:shd w:val="clear" w:color="000000" w:fill="FFFFFF"/>
            <w:noWrap/>
            <w:vAlign w:val="center"/>
            <w:hideMark/>
          </w:tcPr>
          <w:p w14:paraId="1579A6F7"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4752,0</w:t>
            </w:r>
          </w:p>
        </w:tc>
        <w:tc>
          <w:tcPr>
            <w:tcW w:w="1328" w:type="dxa"/>
            <w:tcBorders>
              <w:top w:val="nil"/>
              <w:left w:val="nil"/>
              <w:bottom w:val="single" w:sz="4" w:space="0" w:color="auto"/>
              <w:right w:val="single" w:sz="12" w:space="0" w:color="auto"/>
            </w:tcBorders>
            <w:shd w:val="clear" w:color="000000" w:fill="FFFFFF"/>
            <w:noWrap/>
            <w:vAlign w:val="center"/>
            <w:hideMark/>
          </w:tcPr>
          <w:p w14:paraId="7706FD30"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80%</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622C01C3"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6326,4</w:t>
            </w:r>
          </w:p>
        </w:tc>
        <w:tc>
          <w:tcPr>
            <w:tcW w:w="1329" w:type="dxa"/>
            <w:tcBorders>
              <w:top w:val="nil"/>
              <w:left w:val="nil"/>
              <w:bottom w:val="single" w:sz="4" w:space="0" w:color="auto"/>
              <w:right w:val="single" w:sz="12" w:space="0" w:color="auto"/>
            </w:tcBorders>
            <w:shd w:val="clear" w:color="000000" w:fill="FFFFFF"/>
            <w:noWrap/>
            <w:vAlign w:val="center"/>
            <w:hideMark/>
          </w:tcPr>
          <w:p w14:paraId="4D4C8243"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80%</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0B2E17D0"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10032,0</w:t>
            </w:r>
          </w:p>
        </w:tc>
        <w:tc>
          <w:tcPr>
            <w:tcW w:w="1329" w:type="dxa"/>
            <w:tcBorders>
              <w:top w:val="nil"/>
              <w:left w:val="nil"/>
              <w:bottom w:val="single" w:sz="4" w:space="0" w:color="auto"/>
              <w:right w:val="single" w:sz="12" w:space="0" w:color="auto"/>
            </w:tcBorders>
            <w:shd w:val="clear" w:color="000000" w:fill="FFFFFF"/>
            <w:noWrap/>
            <w:vAlign w:val="center"/>
            <w:hideMark/>
          </w:tcPr>
          <w:p w14:paraId="02544761"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80%</w:t>
            </w:r>
          </w:p>
        </w:tc>
      </w:tr>
      <w:tr w:rsidR="0060033C" w:rsidRPr="0060033C" w14:paraId="78E8EB40"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053B2145"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RD_P2-O1</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487808E4"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2079,0</w:t>
            </w:r>
          </w:p>
        </w:tc>
        <w:tc>
          <w:tcPr>
            <w:tcW w:w="1328" w:type="dxa"/>
            <w:tcBorders>
              <w:top w:val="single" w:sz="8" w:space="0" w:color="auto"/>
              <w:left w:val="nil"/>
              <w:bottom w:val="single" w:sz="4" w:space="0" w:color="auto"/>
              <w:right w:val="single" w:sz="12" w:space="0" w:color="auto"/>
            </w:tcBorders>
            <w:shd w:val="clear" w:color="000000" w:fill="FFFFFF"/>
            <w:noWrap/>
            <w:vAlign w:val="center"/>
            <w:hideMark/>
          </w:tcPr>
          <w:p w14:paraId="3FF9EED7"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47%</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724C8A0A"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2767,8</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7D589CF6"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47%</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4B8A88F8"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4389,0</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1CB578D3"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47%</w:t>
            </w:r>
          </w:p>
        </w:tc>
      </w:tr>
      <w:tr w:rsidR="0060033C" w:rsidRPr="0060033C" w14:paraId="3F95408D"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1A95E3B9"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RD_P2-O2</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034DF239"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3267,0</w:t>
            </w:r>
          </w:p>
        </w:tc>
        <w:tc>
          <w:tcPr>
            <w:tcW w:w="1328" w:type="dxa"/>
            <w:tcBorders>
              <w:top w:val="nil"/>
              <w:left w:val="nil"/>
              <w:bottom w:val="single" w:sz="4" w:space="0" w:color="auto"/>
              <w:right w:val="single" w:sz="12" w:space="0" w:color="auto"/>
            </w:tcBorders>
            <w:shd w:val="clear" w:color="000000" w:fill="FFFFFF"/>
            <w:noWrap/>
            <w:vAlign w:val="center"/>
            <w:hideMark/>
          </w:tcPr>
          <w:p w14:paraId="60522928"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73%</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4B01C311"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4349,4</w:t>
            </w:r>
          </w:p>
        </w:tc>
        <w:tc>
          <w:tcPr>
            <w:tcW w:w="1329" w:type="dxa"/>
            <w:tcBorders>
              <w:top w:val="nil"/>
              <w:left w:val="nil"/>
              <w:bottom w:val="single" w:sz="4" w:space="0" w:color="auto"/>
              <w:right w:val="single" w:sz="12" w:space="0" w:color="auto"/>
            </w:tcBorders>
            <w:shd w:val="clear" w:color="000000" w:fill="FFFFFF"/>
            <w:noWrap/>
            <w:vAlign w:val="center"/>
            <w:hideMark/>
          </w:tcPr>
          <w:p w14:paraId="1DA5445C"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73%</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683C4773"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6897,0</w:t>
            </w:r>
          </w:p>
        </w:tc>
        <w:tc>
          <w:tcPr>
            <w:tcW w:w="1329" w:type="dxa"/>
            <w:tcBorders>
              <w:top w:val="nil"/>
              <w:left w:val="nil"/>
              <w:bottom w:val="single" w:sz="4" w:space="0" w:color="auto"/>
              <w:right w:val="single" w:sz="12" w:space="0" w:color="auto"/>
            </w:tcBorders>
            <w:shd w:val="clear" w:color="000000" w:fill="FFFFFF"/>
            <w:noWrap/>
            <w:vAlign w:val="center"/>
            <w:hideMark/>
          </w:tcPr>
          <w:p w14:paraId="6B8DF24C"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73%</w:t>
            </w:r>
          </w:p>
        </w:tc>
      </w:tr>
      <w:tr w:rsidR="0060033C" w:rsidRPr="0060033C" w14:paraId="5FCCABDE" w14:textId="77777777" w:rsidTr="003310AB">
        <w:trPr>
          <w:trHeight w:val="397"/>
        </w:trPr>
        <w:tc>
          <w:tcPr>
            <w:tcW w:w="1266" w:type="dxa"/>
            <w:tcBorders>
              <w:top w:val="nil"/>
              <w:left w:val="single" w:sz="12" w:space="0" w:color="auto"/>
              <w:bottom w:val="single" w:sz="8" w:space="0" w:color="auto"/>
              <w:right w:val="single" w:sz="12" w:space="0" w:color="auto"/>
            </w:tcBorders>
            <w:shd w:val="clear" w:color="000000" w:fill="FFFFFF"/>
            <w:vAlign w:val="center"/>
            <w:hideMark/>
          </w:tcPr>
          <w:p w14:paraId="5BDA2D46"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RD_P2-O3</w:t>
            </w:r>
          </w:p>
        </w:tc>
        <w:tc>
          <w:tcPr>
            <w:tcW w:w="1266" w:type="dxa"/>
            <w:tcBorders>
              <w:top w:val="nil"/>
              <w:left w:val="single" w:sz="12" w:space="0" w:color="auto"/>
              <w:bottom w:val="single" w:sz="8" w:space="0" w:color="auto"/>
              <w:right w:val="single" w:sz="4" w:space="0" w:color="auto"/>
            </w:tcBorders>
            <w:shd w:val="clear" w:color="000000" w:fill="FFFFFF"/>
            <w:noWrap/>
            <w:vAlign w:val="center"/>
            <w:hideMark/>
          </w:tcPr>
          <w:p w14:paraId="5C07BE47"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3267,0</w:t>
            </w:r>
          </w:p>
        </w:tc>
        <w:tc>
          <w:tcPr>
            <w:tcW w:w="1328" w:type="dxa"/>
            <w:tcBorders>
              <w:top w:val="nil"/>
              <w:left w:val="nil"/>
              <w:bottom w:val="single" w:sz="4" w:space="0" w:color="auto"/>
              <w:right w:val="single" w:sz="12" w:space="0" w:color="auto"/>
            </w:tcBorders>
            <w:shd w:val="clear" w:color="000000" w:fill="FFFFFF"/>
            <w:noWrap/>
            <w:vAlign w:val="center"/>
            <w:hideMark/>
          </w:tcPr>
          <w:p w14:paraId="301BA08E"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73%</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2EEB3D9B"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4349,4</w:t>
            </w:r>
          </w:p>
        </w:tc>
        <w:tc>
          <w:tcPr>
            <w:tcW w:w="1329" w:type="dxa"/>
            <w:tcBorders>
              <w:top w:val="nil"/>
              <w:left w:val="nil"/>
              <w:bottom w:val="single" w:sz="4" w:space="0" w:color="auto"/>
              <w:right w:val="single" w:sz="12" w:space="0" w:color="auto"/>
            </w:tcBorders>
            <w:shd w:val="clear" w:color="000000" w:fill="FFFFFF"/>
            <w:noWrap/>
            <w:vAlign w:val="center"/>
            <w:hideMark/>
          </w:tcPr>
          <w:p w14:paraId="11A72ADE"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73%</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55244C08"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6897,0</w:t>
            </w:r>
          </w:p>
        </w:tc>
        <w:tc>
          <w:tcPr>
            <w:tcW w:w="1329" w:type="dxa"/>
            <w:tcBorders>
              <w:top w:val="nil"/>
              <w:left w:val="nil"/>
              <w:bottom w:val="single" w:sz="4" w:space="0" w:color="auto"/>
              <w:right w:val="single" w:sz="12" w:space="0" w:color="auto"/>
            </w:tcBorders>
            <w:shd w:val="clear" w:color="000000" w:fill="FFFFFF"/>
            <w:noWrap/>
            <w:vAlign w:val="center"/>
            <w:hideMark/>
          </w:tcPr>
          <w:p w14:paraId="6C85B063"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73%</w:t>
            </w:r>
          </w:p>
        </w:tc>
      </w:tr>
      <w:tr w:rsidR="0060033C" w:rsidRPr="0060033C" w14:paraId="279B9A6E"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49EA3EB0"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RD_P3-O1</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3A73B403"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594,0</w:t>
            </w:r>
          </w:p>
        </w:tc>
        <w:tc>
          <w:tcPr>
            <w:tcW w:w="1328" w:type="dxa"/>
            <w:tcBorders>
              <w:top w:val="single" w:sz="8" w:space="0" w:color="auto"/>
              <w:left w:val="nil"/>
              <w:bottom w:val="single" w:sz="4" w:space="0" w:color="auto"/>
              <w:right w:val="single" w:sz="12" w:space="0" w:color="auto"/>
            </w:tcBorders>
            <w:shd w:val="clear" w:color="000000" w:fill="FFFFFF"/>
            <w:noWrap/>
            <w:vAlign w:val="center"/>
            <w:hideMark/>
          </w:tcPr>
          <w:p w14:paraId="03CDBB46"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20%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06961A4A"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790,8</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477B42A7"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20%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5EB8DC3B"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1254,0</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74E59BEC"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20%</w:t>
            </w:r>
          </w:p>
        </w:tc>
      </w:tr>
      <w:tr w:rsidR="0060033C" w:rsidRPr="0060033C" w14:paraId="5EB10F0A"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178044CE"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RD_P3-O2</w:t>
            </w:r>
          </w:p>
        </w:tc>
        <w:tc>
          <w:tcPr>
            <w:tcW w:w="1266" w:type="dxa"/>
            <w:tcBorders>
              <w:top w:val="nil"/>
              <w:left w:val="single" w:sz="12" w:space="0" w:color="auto"/>
              <w:bottom w:val="single" w:sz="4" w:space="0" w:color="auto"/>
              <w:right w:val="single" w:sz="4" w:space="0" w:color="auto"/>
            </w:tcBorders>
            <w:shd w:val="clear" w:color="000000" w:fill="FFFFFF"/>
            <w:noWrap/>
            <w:vAlign w:val="center"/>
            <w:hideMark/>
          </w:tcPr>
          <w:p w14:paraId="2EDC5A52"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1782,0</w:t>
            </w:r>
          </w:p>
        </w:tc>
        <w:tc>
          <w:tcPr>
            <w:tcW w:w="1328" w:type="dxa"/>
            <w:tcBorders>
              <w:top w:val="nil"/>
              <w:left w:val="nil"/>
              <w:bottom w:val="single" w:sz="4" w:space="0" w:color="auto"/>
              <w:right w:val="single" w:sz="12" w:space="0" w:color="auto"/>
            </w:tcBorders>
            <w:shd w:val="clear" w:color="000000" w:fill="FFFFFF"/>
            <w:noWrap/>
            <w:vAlign w:val="center"/>
            <w:hideMark/>
          </w:tcPr>
          <w:p w14:paraId="5681BA34"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49D1427E"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2372,4</w:t>
            </w:r>
          </w:p>
        </w:tc>
        <w:tc>
          <w:tcPr>
            <w:tcW w:w="1329" w:type="dxa"/>
            <w:tcBorders>
              <w:top w:val="nil"/>
              <w:left w:val="nil"/>
              <w:bottom w:val="single" w:sz="4" w:space="0" w:color="auto"/>
              <w:right w:val="single" w:sz="12" w:space="0" w:color="auto"/>
            </w:tcBorders>
            <w:shd w:val="clear" w:color="000000" w:fill="FFFFFF"/>
            <w:noWrap/>
            <w:vAlign w:val="center"/>
            <w:hideMark/>
          </w:tcPr>
          <w:p w14:paraId="7BF0C14C"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5E348588"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3762,0</w:t>
            </w:r>
          </w:p>
        </w:tc>
        <w:tc>
          <w:tcPr>
            <w:tcW w:w="1329" w:type="dxa"/>
            <w:tcBorders>
              <w:top w:val="nil"/>
              <w:left w:val="nil"/>
              <w:bottom w:val="single" w:sz="4" w:space="0" w:color="auto"/>
              <w:right w:val="single" w:sz="12" w:space="0" w:color="auto"/>
            </w:tcBorders>
            <w:shd w:val="clear" w:color="000000" w:fill="FFFFFF"/>
            <w:noWrap/>
            <w:vAlign w:val="center"/>
            <w:hideMark/>
          </w:tcPr>
          <w:p w14:paraId="1FF3953D"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r>
      <w:tr w:rsidR="0060033C" w:rsidRPr="0060033C" w14:paraId="6F4C107C" w14:textId="77777777" w:rsidTr="003310AB">
        <w:trPr>
          <w:trHeight w:val="397"/>
        </w:trPr>
        <w:tc>
          <w:tcPr>
            <w:tcW w:w="1266" w:type="dxa"/>
            <w:tcBorders>
              <w:top w:val="nil"/>
              <w:left w:val="single" w:sz="12" w:space="0" w:color="auto"/>
              <w:bottom w:val="single" w:sz="12" w:space="0" w:color="auto"/>
              <w:right w:val="single" w:sz="12" w:space="0" w:color="auto"/>
            </w:tcBorders>
            <w:shd w:val="clear" w:color="000000" w:fill="FFFFFF"/>
            <w:vAlign w:val="center"/>
            <w:hideMark/>
          </w:tcPr>
          <w:p w14:paraId="499AD038" w14:textId="77777777" w:rsidR="0060033C" w:rsidRPr="00EE2892" w:rsidRDefault="0060033C" w:rsidP="0060033C">
            <w:pPr>
              <w:spacing w:after="0" w:line="240" w:lineRule="auto"/>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RD_P3-O3</w:t>
            </w:r>
          </w:p>
        </w:tc>
        <w:tc>
          <w:tcPr>
            <w:tcW w:w="1266" w:type="dxa"/>
            <w:tcBorders>
              <w:top w:val="nil"/>
              <w:left w:val="single" w:sz="12" w:space="0" w:color="auto"/>
              <w:bottom w:val="single" w:sz="12" w:space="0" w:color="auto"/>
              <w:right w:val="single" w:sz="4" w:space="0" w:color="auto"/>
            </w:tcBorders>
            <w:shd w:val="clear" w:color="000000" w:fill="FFFFFF"/>
            <w:noWrap/>
            <w:vAlign w:val="center"/>
            <w:hideMark/>
          </w:tcPr>
          <w:p w14:paraId="5332C929"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1782,0</w:t>
            </w:r>
          </w:p>
        </w:tc>
        <w:tc>
          <w:tcPr>
            <w:tcW w:w="1328" w:type="dxa"/>
            <w:tcBorders>
              <w:top w:val="nil"/>
              <w:left w:val="nil"/>
              <w:bottom w:val="single" w:sz="12" w:space="0" w:color="auto"/>
              <w:right w:val="single" w:sz="12" w:space="0" w:color="auto"/>
            </w:tcBorders>
            <w:shd w:val="clear" w:color="000000" w:fill="FFFFFF"/>
            <w:noWrap/>
            <w:vAlign w:val="center"/>
            <w:hideMark/>
          </w:tcPr>
          <w:p w14:paraId="5E5C1B69"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0E946C1B"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2372,4</w:t>
            </w:r>
          </w:p>
        </w:tc>
        <w:tc>
          <w:tcPr>
            <w:tcW w:w="1329" w:type="dxa"/>
            <w:tcBorders>
              <w:top w:val="nil"/>
              <w:left w:val="nil"/>
              <w:bottom w:val="single" w:sz="12" w:space="0" w:color="auto"/>
              <w:right w:val="single" w:sz="12" w:space="0" w:color="auto"/>
            </w:tcBorders>
            <w:shd w:val="clear" w:color="000000" w:fill="FFFFFF"/>
            <w:noWrap/>
            <w:vAlign w:val="center"/>
            <w:hideMark/>
          </w:tcPr>
          <w:p w14:paraId="6F03FCEE"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070B2E5A" w14:textId="77777777" w:rsidR="0060033C" w:rsidRPr="00EE2892" w:rsidRDefault="0060033C" w:rsidP="0060033C">
            <w:pPr>
              <w:spacing w:after="0" w:line="240" w:lineRule="auto"/>
              <w:jc w:val="center"/>
              <w:rPr>
                <w:rFonts w:ascii="Calibri" w:eastAsia="Times New Roman" w:hAnsi="Calibri" w:cs="Times New Roman"/>
                <w:b/>
                <w:bCs/>
                <w:color w:val="000000"/>
                <w:sz w:val="20"/>
                <w:szCs w:val="20"/>
                <w:lang w:eastAsia="sk-SK"/>
              </w:rPr>
            </w:pPr>
            <w:r w:rsidRPr="00EE2892">
              <w:rPr>
                <w:rFonts w:ascii="Calibri" w:eastAsia="Times New Roman" w:hAnsi="Calibri" w:cs="Times New Roman"/>
                <w:b/>
                <w:bCs/>
                <w:color w:val="000000"/>
                <w:sz w:val="20"/>
                <w:szCs w:val="20"/>
                <w:lang w:eastAsia="sk-SK"/>
              </w:rPr>
              <w:t>3762,0</w:t>
            </w:r>
          </w:p>
        </w:tc>
        <w:tc>
          <w:tcPr>
            <w:tcW w:w="1329" w:type="dxa"/>
            <w:tcBorders>
              <w:top w:val="nil"/>
              <w:left w:val="nil"/>
              <w:bottom w:val="single" w:sz="12" w:space="0" w:color="auto"/>
              <w:right w:val="single" w:sz="12" w:space="0" w:color="auto"/>
            </w:tcBorders>
            <w:shd w:val="clear" w:color="000000" w:fill="FFFFFF"/>
            <w:noWrap/>
            <w:vAlign w:val="center"/>
            <w:hideMark/>
          </w:tcPr>
          <w:p w14:paraId="52FDD7C9" w14:textId="77777777" w:rsidR="0060033C" w:rsidRPr="00EE2892" w:rsidRDefault="0060033C" w:rsidP="0060033C">
            <w:pPr>
              <w:spacing w:after="0" w:line="240" w:lineRule="auto"/>
              <w:jc w:val="center"/>
              <w:rPr>
                <w:rFonts w:ascii="Calibri" w:eastAsia="Times New Roman" w:hAnsi="Calibri" w:cs="Times New Roman"/>
                <w:color w:val="000000"/>
                <w:sz w:val="20"/>
                <w:szCs w:val="20"/>
                <w:lang w:eastAsia="sk-SK"/>
              </w:rPr>
            </w:pPr>
            <w:r w:rsidRPr="00EE2892">
              <w:rPr>
                <w:rFonts w:ascii="Calibri" w:eastAsia="Times New Roman" w:hAnsi="Calibri" w:cs="Times New Roman"/>
                <w:color w:val="000000"/>
                <w:sz w:val="20"/>
                <w:szCs w:val="20"/>
                <w:lang w:eastAsia="sk-SK"/>
              </w:rPr>
              <w:t>60%</w:t>
            </w:r>
          </w:p>
        </w:tc>
      </w:tr>
    </w:tbl>
    <w:p w14:paraId="1BDBDE4A" w14:textId="1D1D5622" w:rsidR="00D774AD" w:rsidRPr="00391A78" w:rsidRDefault="00D774AD" w:rsidP="00D774AD">
      <w:pPr>
        <w:pStyle w:val="Nadpis2"/>
        <w:numPr>
          <w:ilvl w:val="0"/>
          <w:numId w:val="0"/>
        </w:numPr>
      </w:pPr>
      <w:bookmarkStart w:id="19" w:name="_Toc62576778"/>
      <w:r>
        <w:t xml:space="preserve">5.3 Úspora </w:t>
      </w:r>
      <w:r w:rsidR="003310AB">
        <w:t xml:space="preserve">celkovej </w:t>
      </w:r>
      <w:r>
        <w:t>energie</w:t>
      </w:r>
      <w:bookmarkEnd w:id="19"/>
      <w:r>
        <w:t xml:space="preserve"> </w:t>
      </w:r>
    </w:p>
    <w:p w14:paraId="661D41EA" w14:textId="692131E4" w:rsidR="0060033C" w:rsidRDefault="003310AB" w:rsidP="004E1ED8">
      <w:pPr>
        <w:spacing w:before="120" w:after="120"/>
      </w:pPr>
      <w:r>
        <w:t>Celková úspora energie (t.j. súčet úspory energie na vykurovanie a úspory energie na prípravu TÚV) dosahuje zníženie od 52 % pri najkonzervatívnejšej obnove po 95 % pri tej najambicióznejšej.</w:t>
      </w:r>
    </w:p>
    <w:p w14:paraId="07CEF0DF" w14:textId="08557B6B" w:rsidR="003310AB" w:rsidRPr="00445849" w:rsidRDefault="003310AB" w:rsidP="003310AB">
      <w:pPr>
        <w:spacing w:before="120" w:after="120"/>
        <w:rPr>
          <w:i/>
          <w:iCs/>
        </w:rPr>
      </w:pPr>
      <w:r w:rsidRPr="00445849">
        <w:rPr>
          <w:i/>
          <w:iCs/>
        </w:rPr>
        <w:t>Tab</w:t>
      </w:r>
      <w:r w:rsidR="00445849">
        <w:rPr>
          <w:i/>
          <w:iCs/>
        </w:rPr>
        <w:t>.</w:t>
      </w:r>
      <w:r w:rsidRPr="00445849">
        <w:rPr>
          <w:i/>
          <w:iCs/>
        </w:rPr>
        <w:t xml:space="preserve"> </w:t>
      </w:r>
      <w:r w:rsidR="00445849" w:rsidRPr="00445849">
        <w:rPr>
          <w:i/>
          <w:iCs/>
        </w:rPr>
        <w:t>2</w:t>
      </w:r>
      <w:r w:rsidR="009D46B3">
        <w:rPr>
          <w:i/>
          <w:iCs/>
        </w:rPr>
        <w:t>2</w:t>
      </w:r>
      <w:r w:rsidRPr="00445849">
        <w:rPr>
          <w:i/>
          <w:iCs/>
        </w:rPr>
        <w:t>: Úspora energie na prípravu TÚV po obnove</w:t>
      </w:r>
    </w:p>
    <w:tbl>
      <w:tblPr>
        <w:tblW w:w="9053" w:type="dxa"/>
        <w:tblCellMar>
          <w:left w:w="70" w:type="dxa"/>
          <w:right w:w="70" w:type="dxa"/>
        </w:tblCellMar>
        <w:tblLook w:val="04A0" w:firstRow="1" w:lastRow="0" w:firstColumn="1" w:lastColumn="0" w:noHBand="0" w:noVBand="1"/>
      </w:tblPr>
      <w:tblGrid>
        <w:gridCol w:w="1266"/>
        <w:gridCol w:w="1266"/>
        <w:gridCol w:w="1329"/>
        <w:gridCol w:w="1267"/>
        <w:gridCol w:w="1329"/>
        <w:gridCol w:w="1267"/>
        <w:gridCol w:w="1329"/>
      </w:tblGrid>
      <w:tr w:rsidR="003310AB" w:rsidRPr="0060033C" w14:paraId="3A0B4C0A" w14:textId="77777777" w:rsidTr="003310AB">
        <w:trPr>
          <w:trHeight w:val="499"/>
        </w:trPr>
        <w:tc>
          <w:tcPr>
            <w:tcW w:w="1266" w:type="dxa"/>
            <w:vMerge w:val="restart"/>
            <w:tcBorders>
              <w:top w:val="single" w:sz="12" w:space="0" w:color="auto"/>
              <w:left w:val="single" w:sz="12" w:space="0" w:color="auto"/>
              <w:bottom w:val="single" w:sz="8" w:space="0" w:color="000000"/>
              <w:right w:val="single" w:sz="12" w:space="0" w:color="auto"/>
            </w:tcBorders>
            <w:shd w:val="clear" w:color="000000" w:fill="FFFFFF"/>
            <w:noWrap/>
            <w:vAlign w:val="bottom"/>
            <w:hideMark/>
          </w:tcPr>
          <w:p w14:paraId="28FB4AE5"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 </w:t>
            </w:r>
          </w:p>
        </w:tc>
        <w:tc>
          <w:tcPr>
            <w:tcW w:w="2595"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B74E94A"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RD_M</w:t>
            </w:r>
          </w:p>
        </w:tc>
        <w:tc>
          <w:tcPr>
            <w:tcW w:w="2596"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F269B44"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RD_S</w:t>
            </w:r>
          </w:p>
        </w:tc>
        <w:tc>
          <w:tcPr>
            <w:tcW w:w="2596"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671F624F"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RD_V</w:t>
            </w:r>
          </w:p>
        </w:tc>
      </w:tr>
      <w:tr w:rsidR="003310AB" w:rsidRPr="0060033C" w14:paraId="00915960" w14:textId="77777777" w:rsidTr="003310AB">
        <w:trPr>
          <w:trHeight w:val="690"/>
        </w:trPr>
        <w:tc>
          <w:tcPr>
            <w:tcW w:w="1266" w:type="dxa"/>
            <w:vMerge/>
            <w:tcBorders>
              <w:top w:val="single" w:sz="8" w:space="0" w:color="auto"/>
              <w:left w:val="single" w:sz="12" w:space="0" w:color="auto"/>
              <w:bottom w:val="single" w:sz="12" w:space="0" w:color="auto"/>
              <w:right w:val="single" w:sz="12" w:space="0" w:color="auto"/>
            </w:tcBorders>
            <w:vAlign w:val="center"/>
            <w:hideMark/>
          </w:tcPr>
          <w:p w14:paraId="5E70DF37" w14:textId="77777777" w:rsidR="003310AB" w:rsidRPr="00EE2892" w:rsidRDefault="003310AB" w:rsidP="003310AB">
            <w:pPr>
              <w:spacing w:after="0" w:line="240" w:lineRule="auto"/>
              <w:rPr>
                <w:rFonts w:eastAsia="Times New Roman" w:cstheme="minorHAnsi"/>
                <w:color w:val="000000"/>
                <w:sz w:val="20"/>
                <w:szCs w:val="20"/>
                <w:lang w:eastAsia="sk-SK"/>
              </w:rPr>
            </w:pPr>
          </w:p>
        </w:tc>
        <w:tc>
          <w:tcPr>
            <w:tcW w:w="1266" w:type="dxa"/>
            <w:tcBorders>
              <w:top w:val="nil"/>
              <w:left w:val="single" w:sz="12" w:space="0" w:color="auto"/>
              <w:bottom w:val="single" w:sz="12" w:space="0" w:color="auto"/>
              <w:right w:val="single" w:sz="4" w:space="0" w:color="auto"/>
            </w:tcBorders>
            <w:shd w:val="clear" w:color="000000" w:fill="FFFFFF"/>
            <w:noWrap/>
            <w:vAlign w:val="center"/>
            <w:hideMark/>
          </w:tcPr>
          <w:p w14:paraId="2B303B0A" w14:textId="0420EB0F" w:rsidR="003310AB" w:rsidRPr="00EE2892" w:rsidRDefault="00E241C3" w:rsidP="003310AB">
            <w:pPr>
              <w:spacing w:after="0" w:line="240" w:lineRule="auto"/>
              <w:jc w:val="center"/>
              <w:rPr>
                <w:rFonts w:eastAsia="Times New Roman" w:cstheme="minorHAnsi"/>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7455C459"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Percentuálne zníženie</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195A82BF" w14:textId="062436D2" w:rsidR="003310AB" w:rsidRPr="00EE2892" w:rsidRDefault="00E241C3" w:rsidP="003310AB">
            <w:pPr>
              <w:spacing w:after="0" w:line="240" w:lineRule="auto"/>
              <w:jc w:val="center"/>
              <w:rPr>
                <w:rFonts w:eastAsia="Times New Roman" w:cstheme="minorHAnsi"/>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405688F7"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Percentuálne zníženie</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52D152AE" w14:textId="5ED34DAB" w:rsidR="003310AB" w:rsidRPr="00EE2892" w:rsidRDefault="00E241C3" w:rsidP="003310AB">
            <w:pPr>
              <w:spacing w:after="0" w:line="240" w:lineRule="auto"/>
              <w:jc w:val="center"/>
              <w:rPr>
                <w:rFonts w:eastAsia="Times New Roman" w:cstheme="minorHAnsi"/>
                <w:color w:val="000000"/>
                <w:sz w:val="20"/>
                <w:szCs w:val="20"/>
                <w:lang w:eastAsia="sk-SK"/>
              </w:rPr>
            </w:pPr>
            <w:r w:rsidRPr="00207C11">
              <w:rPr>
                <w:rFonts w:ascii="Calibri" w:eastAsia="Times New Roman" w:hAnsi="Calibri" w:cs="Times New Roman"/>
                <w:color w:val="000000"/>
                <w:sz w:val="20"/>
                <w:szCs w:val="20"/>
                <w:lang w:eastAsia="sk-SK"/>
              </w:rPr>
              <w:t>[kWh/a]</w:t>
            </w:r>
          </w:p>
        </w:tc>
        <w:tc>
          <w:tcPr>
            <w:tcW w:w="1329" w:type="dxa"/>
            <w:tcBorders>
              <w:top w:val="nil"/>
              <w:left w:val="nil"/>
              <w:bottom w:val="single" w:sz="12" w:space="0" w:color="auto"/>
              <w:right w:val="single" w:sz="12" w:space="0" w:color="auto"/>
            </w:tcBorders>
            <w:shd w:val="clear" w:color="000000" w:fill="FFFFFF"/>
            <w:vAlign w:val="center"/>
            <w:hideMark/>
          </w:tcPr>
          <w:p w14:paraId="435DCD14" w14:textId="7777777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eastAsia="Times New Roman" w:cstheme="minorHAnsi"/>
                <w:color w:val="000000"/>
                <w:sz w:val="20"/>
                <w:szCs w:val="20"/>
                <w:lang w:eastAsia="sk-SK"/>
              </w:rPr>
              <w:t>Percentuálne zníženie</w:t>
            </w:r>
          </w:p>
        </w:tc>
      </w:tr>
      <w:tr w:rsidR="003310AB" w:rsidRPr="0060033C" w14:paraId="376A3E7B" w14:textId="77777777" w:rsidTr="003310AB">
        <w:trPr>
          <w:trHeight w:val="397"/>
        </w:trPr>
        <w:tc>
          <w:tcPr>
            <w:tcW w:w="1266"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631E7AEF"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RD_P1-O1</w:t>
            </w:r>
          </w:p>
        </w:tc>
        <w:tc>
          <w:tcPr>
            <w:tcW w:w="1266"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235F1278" w14:textId="05FE6653"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52396,5</w:t>
            </w:r>
          </w:p>
        </w:tc>
        <w:tc>
          <w:tcPr>
            <w:tcW w:w="1329" w:type="dxa"/>
            <w:tcBorders>
              <w:top w:val="single" w:sz="12" w:space="0" w:color="auto"/>
              <w:left w:val="nil"/>
              <w:bottom w:val="single" w:sz="4" w:space="0" w:color="auto"/>
              <w:right w:val="single" w:sz="12" w:space="0" w:color="auto"/>
            </w:tcBorders>
            <w:shd w:val="clear" w:color="000000" w:fill="FFFFFF"/>
            <w:noWrap/>
            <w:vAlign w:val="center"/>
          </w:tcPr>
          <w:p w14:paraId="11545D43" w14:textId="0BA8220C"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81%</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6C8A9ABE" w14:textId="4C2EDA0F"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60553,4</w:t>
            </w:r>
          </w:p>
        </w:tc>
        <w:tc>
          <w:tcPr>
            <w:tcW w:w="1329" w:type="dxa"/>
            <w:tcBorders>
              <w:top w:val="single" w:sz="12" w:space="0" w:color="auto"/>
              <w:left w:val="nil"/>
              <w:bottom w:val="single" w:sz="4" w:space="0" w:color="auto"/>
              <w:right w:val="single" w:sz="12" w:space="0" w:color="auto"/>
            </w:tcBorders>
            <w:shd w:val="clear" w:color="000000" w:fill="FFFFFF"/>
            <w:noWrap/>
            <w:vAlign w:val="center"/>
          </w:tcPr>
          <w:p w14:paraId="1C5F6F33" w14:textId="3C70580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81%</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tcPr>
          <w:p w14:paraId="1439BAE4" w14:textId="3CEDD192"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84297,4</w:t>
            </w:r>
          </w:p>
        </w:tc>
        <w:tc>
          <w:tcPr>
            <w:tcW w:w="1329" w:type="dxa"/>
            <w:tcBorders>
              <w:top w:val="single" w:sz="12" w:space="0" w:color="auto"/>
              <w:left w:val="nil"/>
              <w:bottom w:val="single" w:sz="4" w:space="0" w:color="auto"/>
              <w:right w:val="single" w:sz="12" w:space="0" w:color="auto"/>
            </w:tcBorders>
            <w:shd w:val="clear" w:color="000000" w:fill="FFFFFF"/>
            <w:noWrap/>
            <w:vAlign w:val="center"/>
          </w:tcPr>
          <w:p w14:paraId="05C37B9F" w14:textId="0A8D9D64"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80%</w:t>
            </w:r>
          </w:p>
        </w:tc>
      </w:tr>
      <w:tr w:rsidR="003310AB" w:rsidRPr="0060033C" w14:paraId="0E9C5CD5"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01EBC59C"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RD_P1-O2</w:t>
            </w:r>
          </w:p>
        </w:tc>
        <w:tc>
          <w:tcPr>
            <w:tcW w:w="1266" w:type="dxa"/>
            <w:tcBorders>
              <w:top w:val="nil"/>
              <w:left w:val="single" w:sz="12" w:space="0" w:color="auto"/>
              <w:bottom w:val="single" w:sz="4" w:space="0" w:color="auto"/>
              <w:right w:val="single" w:sz="4" w:space="0" w:color="auto"/>
            </w:tcBorders>
            <w:shd w:val="clear" w:color="000000" w:fill="FFFFFF"/>
            <w:noWrap/>
            <w:vAlign w:val="center"/>
          </w:tcPr>
          <w:p w14:paraId="4D08ABBE" w14:textId="75DBC683"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60310,3</w:t>
            </w:r>
          </w:p>
        </w:tc>
        <w:tc>
          <w:tcPr>
            <w:tcW w:w="1329" w:type="dxa"/>
            <w:tcBorders>
              <w:top w:val="nil"/>
              <w:left w:val="nil"/>
              <w:bottom w:val="single" w:sz="4" w:space="0" w:color="auto"/>
              <w:right w:val="single" w:sz="12" w:space="0" w:color="auto"/>
            </w:tcBorders>
            <w:shd w:val="clear" w:color="000000" w:fill="FFFFFF"/>
            <w:noWrap/>
            <w:vAlign w:val="center"/>
          </w:tcPr>
          <w:p w14:paraId="60B16919" w14:textId="0B5B90D8"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93%</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1119C318" w14:textId="52D06EAE"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69587,8</w:t>
            </w:r>
          </w:p>
        </w:tc>
        <w:tc>
          <w:tcPr>
            <w:tcW w:w="1329" w:type="dxa"/>
            <w:tcBorders>
              <w:top w:val="nil"/>
              <w:left w:val="nil"/>
              <w:bottom w:val="single" w:sz="4" w:space="0" w:color="auto"/>
              <w:right w:val="single" w:sz="12" w:space="0" w:color="auto"/>
            </w:tcBorders>
            <w:shd w:val="clear" w:color="000000" w:fill="FFFFFF"/>
            <w:noWrap/>
            <w:vAlign w:val="center"/>
          </w:tcPr>
          <w:p w14:paraId="245E2F7C" w14:textId="2132FC9A"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93%</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4C5071A0" w14:textId="3C116F4C"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97373,2</w:t>
            </w:r>
          </w:p>
        </w:tc>
        <w:tc>
          <w:tcPr>
            <w:tcW w:w="1329" w:type="dxa"/>
            <w:tcBorders>
              <w:top w:val="nil"/>
              <w:left w:val="nil"/>
              <w:bottom w:val="single" w:sz="4" w:space="0" w:color="auto"/>
              <w:right w:val="single" w:sz="12" w:space="0" w:color="auto"/>
            </w:tcBorders>
            <w:shd w:val="clear" w:color="000000" w:fill="FFFFFF"/>
            <w:noWrap/>
            <w:vAlign w:val="center"/>
          </w:tcPr>
          <w:p w14:paraId="4523EF33" w14:textId="03E777CD"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93%</w:t>
            </w:r>
          </w:p>
        </w:tc>
      </w:tr>
      <w:tr w:rsidR="003310AB" w:rsidRPr="0060033C" w14:paraId="3E34979C" w14:textId="77777777" w:rsidTr="003310AB">
        <w:trPr>
          <w:trHeight w:val="397"/>
        </w:trPr>
        <w:tc>
          <w:tcPr>
            <w:tcW w:w="1266" w:type="dxa"/>
            <w:tcBorders>
              <w:top w:val="nil"/>
              <w:left w:val="single" w:sz="12" w:space="0" w:color="auto"/>
              <w:bottom w:val="single" w:sz="8" w:space="0" w:color="auto"/>
              <w:right w:val="single" w:sz="12" w:space="0" w:color="auto"/>
            </w:tcBorders>
            <w:shd w:val="clear" w:color="000000" w:fill="FFFFFF"/>
            <w:vAlign w:val="center"/>
            <w:hideMark/>
          </w:tcPr>
          <w:p w14:paraId="1FA22109"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RD_P1_O3</w:t>
            </w:r>
          </w:p>
        </w:tc>
        <w:tc>
          <w:tcPr>
            <w:tcW w:w="1266" w:type="dxa"/>
            <w:tcBorders>
              <w:top w:val="nil"/>
              <w:left w:val="single" w:sz="12" w:space="0" w:color="auto"/>
              <w:bottom w:val="single" w:sz="8" w:space="0" w:color="auto"/>
              <w:right w:val="single" w:sz="4" w:space="0" w:color="auto"/>
            </w:tcBorders>
            <w:shd w:val="clear" w:color="000000" w:fill="FFFFFF"/>
            <w:noWrap/>
            <w:vAlign w:val="center"/>
          </w:tcPr>
          <w:p w14:paraId="29DA1EF4" w14:textId="61EBA7FF"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61027,0</w:t>
            </w:r>
          </w:p>
        </w:tc>
        <w:tc>
          <w:tcPr>
            <w:tcW w:w="1329" w:type="dxa"/>
            <w:tcBorders>
              <w:top w:val="nil"/>
              <w:left w:val="nil"/>
              <w:bottom w:val="single" w:sz="4" w:space="0" w:color="auto"/>
              <w:right w:val="single" w:sz="12" w:space="0" w:color="auto"/>
            </w:tcBorders>
            <w:shd w:val="clear" w:color="000000" w:fill="FFFFFF"/>
            <w:noWrap/>
            <w:vAlign w:val="center"/>
          </w:tcPr>
          <w:p w14:paraId="2FE23176" w14:textId="2898C824"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94%</w:t>
            </w:r>
          </w:p>
        </w:tc>
        <w:tc>
          <w:tcPr>
            <w:tcW w:w="1267" w:type="dxa"/>
            <w:tcBorders>
              <w:top w:val="nil"/>
              <w:left w:val="single" w:sz="12" w:space="0" w:color="auto"/>
              <w:bottom w:val="single" w:sz="8" w:space="0" w:color="auto"/>
              <w:right w:val="single" w:sz="4" w:space="0" w:color="auto"/>
            </w:tcBorders>
            <w:shd w:val="clear" w:color="000000" w:fill="FFFFFF"/>
            <w:noWrap/>
            <w:vAlign w:val="center"/>
          </w:tcPr>
          <w:p w14:paraId="139045E6" w14:textId="0842D324"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70315,4</w:t>
            </w:r>
          </w:p>
        </w:tc>
        <w:tc>
          <w:tcPr>
            <w:tcW w:w="1329" w:type="dxa"/>
            <w:tcBorders>
              <w:top w:val="nil"/>
              <w:left w:val="nil"/>
              <w:bottom w:val="single" w:sz="4" w:space="0" w:color="auto"/>
              <w:right w:val="single" w:sz="12" w:space="0" w:color="auto"/>
            </w:tcBorders>
            <w:shd w:val="clear" w:color="000000" w:fill="FFFFFF"/>
            <w:noWrap/>
            <w:vAlign w:val="center"/>
          </w:tcPr>
          <w:p w14:paraId="20D64DB7" w14:textId="06AAB930"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94%</w:t>
            </w:r>
          </w:p>
        </w:tc>
        <w:tc>
          <w:tcPr>
            <w:tcW w:w="1267" w:type="dxa"/>
            <w:tcBorders>
              <w:top w:val="nil"/>
              <w:left w:val="single" w:sz="12" w:space="0" w:color="auto"/>
              <w:bottom w:val="single" w:sz="8" w:space="0" w:color="auto"/>
              <w:right w:val="single" w:sz="4" w:space="0" w:color="auto"/>
            </w:tcBorders>
            <w:shd w:val="clear" w:color="000000" w:fill="FFFFFF"/>
            <w:noWrap/>
            <w:vAlign w:val="center"/>
          </w:tcPr>
          <w:p w14:paraId="5870320E" w14:textId="5E8F2740"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99312,8</w:t>
            </w:r>
          </w:p>
        </w:tc>
        <w:tc>
          <w:tcPr>
            <w:tcW w:w="1329" w:type="dxa"/>
            <w:tcBorders>
              <w:top w:val="nil"/>
              <w:left w:val="nil"/>
              <w:bottom w:val="single" w:sz="4" w:space="0" w:color="auto"/>
              <w:right w:val="single" w:sz="12" w:space="0" w:color="auto"/>
            </w:tcBorders>
            <w:shd w:val="clear" w:color="000000" w:fill="FFFFFF"/>
            <w:noWrap/>
            <w:vAlign w:val="center"/>
          </w:tcPr>
          <w:p w14:paraId="633D355A" w14:textId="34E1A0A9"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95%</w:t>
            </w:r>
          </w:p>
        </w:tc>
      </w:tr>
      <w:tr w:rsidR="003310AB" w:rsidRPr="0060033C" w14:paraId="412625DE"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02A91451"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RD_P2-O1</w:t>
            </w:r>
          </w:p>
        </w:tc>
        <w:tc>
          <w:tcPr>
            <w:tcW w:w="1266" w:type="dxa"/>
            <w:tcBorders>
              <w:top w:val="nil"/>
              <w:left w:val="single" w:sz="12" w:space="0" w:color="auto"/>
              <w:bottom w:val="single" w:sz="4" w:space="0" w:color="auto"/>
              <w:right w:val="single" w:sz="4" w:space="0" w:color="auto"/>
            </w:tcBorders>
            <w:shd w:val="clear" w:color="000000" w:fill="FFFFFF"/>
            <w:noWrap/>
            <w:vAlign w:val="center"/>
          </w:tcPr>
          <w:p w14:paraId="2B7D1655" w14:textId="4EDD4823"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29286,0</w:t>
            </w:r>
          </w:p>
        </w:tc>
        <w:tc>
          <w:tcPr>
            <w:tcW w:w="1329" w:type="dxa"/>
            <w:tcBorders>
              <w:top w:val="single" w:sz="8" w:space="0" w:color="auto"/>
              <w:left w:val="nil"/>
              <w:bottom w:val="single" w:sz="4" w:space="0" w:color="auto"/>
              <w:right w:val="single" w:sz="12" w:space="0" w:color="auto"/>
            </w:tcBorders>
            <w:shd w:val="clear" w:color="000000" w:fill="FFFFFF"/>
            <w:noWrap/>
            <w:vAlign w:val="center"/>
          </w:tcPr>
          <w:p w14:paraId="78CE897A" w14:textId="1A255144"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70%</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267D12EB" w14:textId="24AB5C6C"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33946,1</w:t>
            </w:r>
          </w:p>
        </w:tc>
        <w:tc>
          <w:tcPr>
            <w:tcW w:w="1329" w:type="dxa"/>
            <w:tcBorders>
              <w:top w:val="single" w:sz="8" w:space="0" w:color="auto"/>
              <w:left w:val="nil"/>
              <w:bottom w:val="single" w:sz="4" w:space="0" w:color="auto"/>
              <w:right w:val="single" w:sz="12" w:space="0" w:color="auto"/>
            </w:tcBorders>
            <w:shd w:val="clear" w:color="000000" w:fill="FFFFFF"/>
            <w:noWrap/>
            <w:vAlign w:val="center"/>
          </w:tcPr>
          <w:p w14:paraId="274B961E" w14:textId="5D054FFC"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70%</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19CAC116" w14:textId="2FDA4B98"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47565,7</w:t>
            </w:r>
          </w:p>
        </w:tc>
        <w:tc>
          <w:tcPr>
            <w:tcW w:w="1329" w:type="dxa"/>
            <w:tcBorders>
              <w:top w:val="single" w:sz="8" w:space="0" w:color="auto"/>
              <w:left w:val="nil"/>
              <w:bottom w:val="single" w:sz="4" w:space="0" w:color="auto"/>
              <w:right w:val="single" w:sz="12" w:space="0" w:color="auto"/>
            </w:tcBorders>
            <w:shd w:val="clear" w:color="000000" w:fill="FFFFFF"/>
            <w:noWrap/>
            <w:vAlign w:val="center"/>
          </w:tcPr>
          <w:p w14:paraId="125E27B6" w14:textId="6492BFE9"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70%</w:t>
            </w:r>
          </w:p>
        </w:tc>
      </w:tr>
      <w:tr w:rsidR="003310AB" w:rsidRPr="0060033C" w14:paraId="65B7D064"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6F878AB1"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RD_P2-O2</w:t>
            </w:r>
          </w:p>
        </w:tc>
        <w:tc>
          <w:tcPr>
            <w:tcW w:w="1266" w:type="dxa"/>
            <w:tcBorders>
              <w:top w:val="nil"/>
              <w:left w:val="single" w:sz="12" w:space="0" w:color="auto"/>
              <w:bottom w:val="single" w:sz="4" w:space="0" w:color="auto"/>
              <w:right w:val="single" w:sz="4" w:space="0" w:color="auto"/>
            </w:tcBorders>
            <w:shd w:val="clear" w:color="000000" w:fill="FFFFFF"/>
            <w:noWrap/>
            <w:vAlign w:val="center"/>
          </w:tcPr>
          <w:p w14:paraId="3DE0885C" w14:textId="6CD94899"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37199,8</w:t>
            </w:r>
          </w:p>
        </w:tc>
        <w:tc>
          <w:tcPr>
            <w:tcW w:w="1329" w:type="dxa"/>
            <w:tcBorders>
              <w:top w:val="nil"/>
              <w:left w:val="nil"/>
              <w:bottom w:val="single" w:sz="4" w:space="0" w:color="auto"/>
              <w:right w:val="single" w:sz="12" w:space="0" w:color="auto"/>
            </w:tcBorders>
            <w:shd w:val="clear" w:color="000000" w:fill="FFFFFF"/>
            <w:noWrap/>
            <w:vAlign w:val="center"/>
          </w:tcPr>
          <w:p w14:paraId="69DC062A" w14:textId="66C3188E"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89%</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38E563CE" w14:textId="6591ECE8"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42980,5</w:t>
            </w:r>
          </w:p>
        </w:tc>
        <w:tc>
          <w:tcPr>
            <w:tcW w:w="1329" w:type="dxa"/>
            <w:tcBorders>
              <w:top w:val="nil"/>
              <w:left w:val="nil"/>
              <w:bottom w:val="single" w:sz="4" w:space="0" w:color="auto"/>
              <w:right w:val="single" w:sz="12" w:space="0" w:color="auto"/>
            </w:tcBorders>
            <w:shd w:val="clear" w:color="000000" w:fill="FFFFFF"/>
            <w:noWrap/>
            <w:vAlign w:val="center"/>
          </w:tcPr>
          <w:p w14:paraId="5332BAEA" w14:textId="2A3A5AA5"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89%</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5C397E1F" w14:textId="1BB44808"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60641,6</w:t>
            </w:r>
          </w:p>
        </w:tc>
        <w:tc>
          <w:tcPr>
            <w:tcW w:w="1329" w:type="dxa"/>
            <w:tcBorders>
              <w:top w:val="nil"/>
              <w:left w:val="nil"/>
              <w:bottom w:val="single" w:sz="4" w:space="0" w:color="auto"/>
              <w:right w:val="single" w:sz="12" w:space="0" w:color="auto"/>
            </w:tcBorders>
            <w:shd w:val="clear" w:color="000000" w:fill="FFFFFF"/>
            <w:noWrap/>
            <w:vAlign w:val="center"/>
          </w:tcPr>
          <w:p w14:paraId="24A8404F" w14:textId="6E3C1772"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89%</w:t>
            </w:r>
          </w:p>
        </w:tc>
      </w:tr>
      <w:tr w:rsidR="003310AB" w:rsidRPr="0060033C" w14:paraId="1BFA63F3" w14:textId="77777777" w:rsidTr="003310AB">
        <w:trPr>
          <w:trHeight w:val="397"/>
        </w:trPr>
        <w:tc>
          <w:tcPr>
            <w:tcW w:w="1266" w:type="dxa"/>
            <w:tcBorders>
              <w:top w:val="nil"/>
              <w:left w:val="single" w:sz="12" w:space="0" w:color="auto"/>
              <w:bottom w:val="single" w:sz="8" w:space="0" w:color="auto"/>
              <w:right w:val="single" w:sz="12" w:space="0" w:color="auto"/>
            </w:tcBorders>
            <w:shd w:val="clear" w:color="000000" w:fill="FFFFFF"/>
            <w:vAlign w:val="center"/>
            <w:hideMark/>
          </w:tcPr>
          <w:p w14:paraId="57C28749"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RD_P2-O3</w:t>
            </w:r>
          </w:p>
        </w:tc>
        <w:tc>
          <w:tcPr>
            <w:tcW w:w="1266" w:type="dxa"/>
            <w:tcBorders>
              <w:top w:val="nil"/>
              <w:left w:val="single" w:sz="12" w:space="0" w:color="auto"/>
              <w:bottom w:val="single" w:sz="8" w:space="0" w:color="auto"/>
              <w:right w:val="single" w:sz="4" w:space="0" w:color="auto"/>
            </w:tcBorders>
            <w:shd w:val="clear" w:color="000000" w:fill="FFFFFF"/>
            <w:noWrap/>
            <w:vAlign w:val="center"/>
          </w:tcPr>
          <w:p w14:paraId="5CCCD821" w14:textId="125C67A1"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37916,6</w:t>
            </w:r>
          </w:p>
        </w:tc>
        <w:tc>
          <w:tcPr>
            <w:tcW w:w="1329" w:type="dxa"/>
            <w:tcBorders>
              <w:top w:val="nil"/>
              <w:left w:val="nil"/>
              <w:bottom w:val="single" w:sz="4" w:space="0" w:color="auto"/>
              <w:right w:val="single" w:sz="12" w:space="0" w:color="auto"/>
            </w:tcBorders>
            <w:shd w:val="clear" w:color="000000" w:fill="FFFFFF"/>
            <w:noWrap/>
            <w:vAlign w:val="center"/>
          </w:tcPr>
          <w:p w14:paraId="398C574F" w14:textId="7E003EA9"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91%</w:t>
            </w:r>
          </w:p>
        </w:tc>
        <w:tc>
          <w:tcPr>
            <w:tcW w:w="1267" w:type="dxa"/>
            <w:tcBorders>
              <w:top w:val="nil"/>
              <w:left w:val="single" w:sz="12" w:space="0" w:color="auto"/>
              <w:bottom w:val="single" w:sz="8" w:space="0" w:color="auto"/>
              <w:right w:val="single" w:sz="4" w:space="0" w:color="auto"/>
            </w:tcBorders>
            <w:shd w:val="clear" w:color="000000" w:fill="FFFFFF"/>
            <w:noWrap/>
            <w:vAlign w:val="center"/>
          </w:tcPr>
          <w:p w14:paraId="57FE4C10" w14:textId="6A70DBEB"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43708,1</w:t>
            </w:r>
          </w:p>
        </w:tc>
        <w:tc>
          <w:tcPr>
            <w:tcW w:w="1329" w:type="dxa"/>
            <w:tcBorders>
              <w:top w:val="nil"/>
              <w:left w:val="nil"/>
              <w:bottom w:val="single" w:sz="4" w:space="0" w:color="auto"/>
              <w:right w:val="single" w:sz="12" w:space="0" w:color="auto"/>
            </w:tcBorders>
            <w:shd w:val="clear" w:color="000000" w:fill="FFFFFF"/>
            <w:noWrap/>
            <w:vAlign w:val="center"/>
          </w:tcPr>
          <w:p w14:paraId="51B8DDE6" w14:textId="06B1B066"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91%</w:t>
            </w:r>
          </w:p>
        </w:tc>
        <w:tc>
          <w:tcPr>
            <w:tcW w:w="1267" w:type="dxa"/>
            <w:tcBorders>
              <w:top w:val="nil"/>
              <w:left w:val="single" w:sz="12" w:space="0" w:color="auto"/>
              <w:bottom w:val="single" w:sz="8" w:space="0" w:color="auto"/>
              <w:right w:val="single" w:sz="4" w:space="0" w:color="auto"/>
            </w:tcBorders>
            <w:shd w:val="clear" w:color="000000" w:fill="FFFFFF"/>
            <w:noWrap/>
            <w:vAlign w:val="center"/>
          </w:tcPr>
          <w:p w14:paraId="3C25A376" w14:textId="69C8ED5A"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62581,1</w:t>
            </w:r>
          </w:p>
        </w:tc>
        <w:tc>
          <w:tcPr>
            <w:tcW w:w="1329" w:type="dxa"/>
            <w:tcBorders>
              <w:top w:val="nil"/>
              <w:left w:val="nil"/>
              <w:bottom w:val="single" w:sz="4" w:space="0" w:color="auto"/>
              <w:right w:val="single" w:sz="12" w:space="0" w:color="auto"/>
            </w:tcBorders>
            <w:shd w:val="clear" w:color="000000" w:fill="FFFFFF"/>
            <w:noWrap/>
            <w:vAlign w:val="center"/>
          </w:tcPr>
          <w:p w14:paraId="0AFCB6B8" w14:textId="5C468DA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92%</w:t>
            </w:r>
          </w:p>
        </w:tc>
      </w:tr>
      <w:tr w:rsidR="003310AB" w:rsidRPr="0060033C" w14:paraId="180E2078"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6FD9101B"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RD_P3-O1</w:t>
            </w:r>
          </w:p>
        </w:tc>
        <w:tc>
          <w:tcPr>
            <w:tcW w:w="1266" w:type="dxa"/>
            <w:tcBorders>
              <w:top w:val="nil"/>
              <w:left w:val="single" w:sz="12" w:space="0" w:color="auto"/>
              <w:bottom w:val="single" w:sz="4" w:space="0" w:color="auto"/>
              <w:right w:val="single" w:sz="4" w:space="0" w:color="auto"/>
            </w:tcBorders>
            <w:shd w:val="clear" w:color="000000" w:fill="FFFFFF"/>
            <w:noWrap/>
            <w:vAlign w:val="center"/>
          </w:tcPr>
          <w:p w14:paraId="754BC9CD" w14:textId="19B53874"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13210,7</w:t>
            </w:r>
          </w:p>
        </w:tc>
        <w:tc>
          <w:tcPr>
            <w:tcW w:w="1329" w:type="dxa"/>
            <w:tcBorders>
              <w:top w:val="single" w:sz="8" w:space="0" w:color="auto"/>
              <w:left w:val="nil"/>
              <w:bottom w:val="single" w:sz="4" w:space="0" w:color="auto"/>
              <w:right w:val="single" w:sz="12" w:space="0" w:color="auto"/>
            </w:tcBorders>
            <w:shd w:val="clear" w:color="000000" w:fill="FFFFFF"/>
            <w:noWrap/>
            <w:vAlign w:val="center"/>
          </w:tcPr>
          <w:p w14:paraId="7789B02F" w14:textId="58438C7C"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52%</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7838FEDF" w14:textId="327162CA"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17659,7</w:t>
            </w:r>
          </w:p>
        </w:tc>
        <w:tc>
          <w:tcPr>
            <w:tcW w:w="1329" w:type="dxa"/>
            <w:tcBorders>
              <w:top w:val="single" w:sz="8" w:space="0" w:color="auto"/>
              <w:left w:val="nil"/>
              <w:bottom w:val="single" w:sz="4" w:space="0" w:color="auto"/>
              <w:right w:val="single" w:sz="12" w:space="0" w:color="auto"/>
            </w:tcBorders>
            <w:shd w:val="clear" w:color="000000" w:fill="FFFFFF"/>
            <w:noWrap/>
            <w:vAlign w:val="center"/>
          </w:tcPr>
          <w:p w14:paraId="3D969E55" w14:textId="42E7AEE2"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55%</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5644FD51" w14:textId="4D2CE33A"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25026,7</w:t>
            </w:r>
          </w:p>
        </w:tc>
        <w:tc>
          <w:tcPr>
            <w:tcW w:w="1329" w:type="dxa"/>
            <w:tcBorders>
              <w:top w:val="single" w:sz="8" w:space="0" w:color="auto"/>
              <w:left w:val="nil"/>
              <w:bottom w:val="single" w:sz="4" w:space="0" w:color="auto"/>
              <w:right w:val="single" w:sz="12" w:space="0" w:color="auto"/>
            </w:tcBorders>
            <w:shd w:val="clear" w:color="000000" w:fill="FFFFFF"/>
            <w:noWrap/>
            <w:vAlign w:val="center"/>
          </w:tcPr>
          <w:p w14:paraId="2FB6EF7B" w14:textId="4E15FAB7"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55%</w:t>
            </w:r>
          </w:p>
        </w:tc>
      </w:tr>
      <w:tr w:rsidR="003310AB" w:rsidRPr="0060033C" w14:paraId="5212A543" w14:textId="77777777" w:rsidTr="003310AB">
        <w:trPr>
          <w:trHeight w:val="397"/>
        </w:trPr>
        <w:tc>
          <w:tcPr>
            <w:tcW w:w="1266" w:type="dxa"/>
            <w:tcBorders>
              <w:top w:val="nil"/>
              <w:left w:val="single" w:sz="12" w:space="0" w:color="auto"/>
              <w:bottom w:val="single" w:sz="4" w:space="0" w:color="auto"/>
              <w:right w:val="single" w:sz="12" w:space="0" w:color="auto"/>
            </w:tcBorders>
            <w:shd w:val="clear" w:color="000000" w:fill="FFFFFF"/>
            <w:vAlign w:val="center"/>
            <w:hideMark/>
          </w:tcPr>
          <w:p w14:paraId="71006CD0"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RD_P3-O2</w:t>
            </w:r>
          </w:p>
        </w:tc>
        <w:tc>
          <w:tcPr>
            <w:tcW w:w="1266" w:type="dxa"/>
            <w:tcBorders>
              <w:top w:val="nil"/>
              <w:left w:val="single" w:sz="12" w:space="0" w:color="auto"/>
              <w:bottom w:val="single" w:sz="4" w:space="0" w:color="auto"/>
              <w:right w:val="single" w:sz="4" w:space="0" w:color="auto"/>
            </w:tcBorders>
            <w:shd w:val="clear" w:color="000000" w:fill="FFFFFF"/>
            <w:noWrap/>
            <w:vAlign w:val="center"/>
          </w:tcPr>
          <w:p w14:paraId="385B63DF" w14:textId="3C4025BB"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21124,6</w:t>
            </w:r>
          </w:p>
        </w:tc>
        <w:tc>
          <w:tcPr>
            <w:tcW w:w="1329" w:type="dxa"/>
            <w:tcBorders>
              <w:top w:val="nil"/>
              <w:left w:val="nil"/>
              <w:bottom w:val="single" w:sz="4" w:space="0" w:color="auto"/>
              <w:right w:val="single" w:sz="12" w:space="0" w:color="auto"/>
            </w:tcBorders>
            <w:shd w:val="clear" w:color="000000" w:fill="FFFFFF"/>
            <w:noWrap/>
            <w:vAlign w:val="center"/>
          </w:tcPr>
          <w:p w14:paraId="251322AD" w14:textId="03F45C51"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83%</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6A261752" w14:textId="508639AF"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26694,1</w:t>
            </w:r>
          </w:p>
        </w:tc>
        <w:tc>
          <w:tcPr>
            <w:tcW w:w="1329" w:type="dxa"/>
            <w:tcBorders>
              <w:top w:val="nil"/>
              <w:left w:val="nil"/>
              <w:bottom w:val="single" w:sz="4" w:space="0" w:color="auto"/>
              <w:right w:val="single" w:sz="12" w:space="0" w:color="auto"/>
            </w:tcBorders>
            <w:shd w:val="clear" w:color="000000" w:fill="FFFFFF"/>
            <w:noWrap/>
            <w:vAlign w:val="center"/>
          </w:tcPr>
          <w:p w14:paraId="525981C6" w14:textId="485FD97F"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84%</w:t>
            </w:r>
          </w:p>
        </w:tc>
        <w:tc>
          <w:tcPr>
            <w:tcW w:w="1267" w:type="dxa"/>
            <w:tcBorders>
              <w:top w:val="nil"/>
              <w:left w:val="single" w:sz="12" w:space="0" w:color="auto"/>
              <w:bottom w:val="single" w:sz="4" w:space="0" w:color="auto"/>
              <w:right w:val="single" w:sz="4" w:space="0" w:color="auto"/>
            </w:tcBorders>
            <w:shd w:val="clear" w:color="000000" w:fill="FFFFFF"/>
            <w:noWrap/>
            <w:vAlign w:val="center"/>
          </w:tcPr>
          <w:p w14:paraId="4ED472BA" w14:textId="2027BEB2"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38102,5</w:t>
            </w:r>
          </w:p>
        </w:tc>
        <w:tc>
          <w:tcPr>
            <w:tcW w:w="1329" w:type="dxa"/>
            <w:tcBorders>
              <w:top w:val="nil"/>
              <w:left w:val="nil"/>
              <w:bottom w:val="single" w:sz="4" w:space="0" w:color="auto"/>
              <w:right w:val="single" w:sz="12" w:space="0" w:color="auto"/>
            </w:tcBorders>
            <w:shd w:val="clear" w:color="000000" w:fill="FFFFFF"/>
            <w:noWrap/>
            <w:vAlign w:val="center"/>
          </w:tcPr>
          <w:p w14:paraId="474235B1" w14:textId="2FCB792C"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83%</w:t>
            </w:r>
          </w:p>
        </w:tc>
      </w:tr>
      <w:tr w:rsidR="003310AB" w:rsidRPr="0060033C" w14:paraId="6131DAF2" w14:textId="77777777" w:rsidTr="003310AB">
        <w:trPr>
          <w:trHeight w:val="397"/>
        </w:trPr>
        <w:tc>
          <w:tcPr>
            <w:tcW w:w="1266" w:type="dxa"/>
            <w:tcBorders>
              <w:top w:val="nil"/>
              <w:left w:val="single" w:sz="12" w:space="0" w:color="auto"/>
              <w:bottom w:val="single" w:sz="12" w:space="0" w:color="auto"/>
              <w:right w:val="single" w:sz="12" w:space="0" w:color="auto"/>
            </w:tcBorders>
            <w:shd w:val="clear" w:color="000000" w:fill="FFFFFF"/>
            <w:vAlign w:val="center"/>
            <w:hideMark/>
          </w:tcPr>
          <w:p w14:paraId="305ACCA3" w14:textId="77777777" w:rsidR="003310AB" w:rsidRPr="00EE2892" w:rsidRDefault="003310AB" w:rsidP="003310AB">
            <w:pPr>
              <w:spacing w:after="0" w:line="240" w:lineRule="auto"/>
              <w:rPr>
                <w:rFonts w:eastAsia="Times New Roman" w:cstheme="minorHAnsi"/>
                <w:color w:val="000000"/>
                <w:sz w:val="20"/>
                <w:szCs w:val="20"/>
                <w:lang w:eastAsia="sk-SK"/>
              </w:rPr>
            </w:pPr>
            <w:r w:rsidRPr="00EE2892">
              <w:rPr>
                <w:rFonts w:eastAsia="Times New Roman" w:cstheme="minorHAnsi"/>
                <w:color w:val="000000"/>
                <w:sz w:val="20"/>
                <w:szCs w:val="20"/>
                <w:lang w:eastAsia="sk-SK"/>
              </w:rPr>
              <w:t>RD_P3-O3</w:t>
            </w:r>
          </w:p>
        </w:tc>
        <w:tc>
          <w:tcPr>
            <w:tcW w:w="1266" w:type="dxa"/>
            <w:tcBorders>
              <w:top w:val="nil"/>
              <w:left w:val="single" w:sz="12" w:space="0" w:color="auto"/>
              <w:bottom w:val="single" w:sz="12" w:space="0" w:color="auto"/>
              <w:right w:val="single" w:sz="4" w:space="0" w:color="auto"/>
            </w:tcBorders>
            <w:shd w:val="clear" w:color="000000" w:fill="FFFFFF"/>
            <w:noWrap/>
            <w:vAlign w:val="center"/>
          </w:tcPr>
          <w:p w14:paraId="26696621" w14:textId="2BF463E7"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21841,3</w:t>
            </w:r>
          </w:p>
        </w:tc>
        <w:tc>
          <w:tcPr>
            <w:tcW w:w="1329" w:type="dxa"/>
            <w:tcBorders>
              <w:top w:val="nil"/>
              <w:left w:val="nil"/>
              <w:bottom w:val="single" w:sz="12" w:space="0" w:color="auto"/>
              <w:right w:val="single" w:sz="12" w:space="0" w:color="auto"/>
            </w:tcBorders>
            <w:shd w:val="clear" w:color="000000" w:fill="FFFFFF"/>
            <w:noWrap/>
            <w:vAlign w:val="center"/>
          </w:tcPr>
          <w:p w14:paraId="347FBC75" w14:textId="59A9635E"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85%</w:t>
            </w:r>
          </w:p>
        </w:tc>
        <w:tc>
          <w:tcPr>
            <w:tcW w:w="1267" w:type="dxa"/>
            <w:tcBorders>
              <w:top w:val="nil"/>
              <w:left w:val="single" w:sz="12" w:space="0" w:color="auto"/>
              <w:bottom w:val="single" w:sz="12" w:space="0" w:color="auto"/>
              <w:right w:val="single" w:sz="4" w:space="0" w:color="auto"/>
            </w:tcBorders>
            <w:shd w:val="clear" w:color="000000" w:fill="FFFFFF"/>
            <w:noWrap/>
            <w:vAlign w:val="center"/>
          </w:tcPr>
          <w:p w14:paraId="236D9E63" w14:textId="5255EDCE"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27421,6</w:t>
            </w:r>
          </w:p>
        </w:tc>
        <w:tc>
          <w:tcPr>
            <w:tcW w:w="1329" w:type="dxa"/>
            <w:tcBorders>
              <w:top w:val="nil"/>
              <w:left w:val="nil"/>
              <w:bottom w:val="single" w:sz="12" w:space="0" w:color="auto"/>
              <w:right w:val="single" w:sz="12" w:space="0" w:color="auto"/>
            </w:tcBorders>
            <w:shd w:val="clear" w:color="000000" w:fill="FFFFFF"/>
            <w:noWrap/>
            <w:vAlign w:val="center"/>
          </w:tcPr>
          <w:p w14:paraId="3F61F330" w14:textId="4590DDD0"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86%</w:t>
            </w:r>
          </w:p>
        </w:tc>
        <w:tc>
          <w:tcPr>
            <w:tcW w:w="1267" w:type="dxa"/>
            <w:tcBorders>
              <w:top w:val="nil"/>
              <w:left w:val="single" w:sz="12" w:space="0" w:color="auto"/>
              <w:bottom w:val="single" w:sz="12" w:space="0" w:color="auto"/>
              <w:right w:val="single" w:sz="4" w:space="0" w:color="auto"/>
            </w:tcBorders>
            <w:shd w:val="clear" w:color="000000" w:fill="FFFFFF"/>
            <w:noWrap/>
            <w:vAlign w:val="center"/>
          </w:tcPr>
          <w:p w14:paraId="2BBB4D42" w14:textId="619A5691" w:rsidR="003310AB" w:rsidRPr="00EE2892" w:rsidRDefault="003310AB" w:rsidP="003310AB">
            <w:pPr>
              <w:spacing w:after="0" w:line="240" w:lineRule="auto"/>
              <w:jc w:val="center"/>
              <w:rPr>
                <w:rFonts w:eastAsia="Times New Roman" w:cstheme="minorHAnsi"/>
                <w:b/>
                <w:bCs/>
                <w:color w:val="000000"/>
                <w:sz w:val="20"/>
                <w:szCs w:val="20"/>
                <w:lang w:eastAsia="sk-SK"/>
              </w:rPr>
            </w:pPr>
            <w:r w:rsidRPr="00EE2892">
              <w:rPr>
                <w:rFonts w:cstheme="minorHAnsi"/>
                <w:b/>
                <w:bCs/>
                <w:color w:val="000000"/>
                <w:sz w:val="20"/>
                <w:szCs w:val="20"/>
              </w:rPr>
              <w:t>40042,1</w:t>
            </w:r>
          </w:p>
        </w:tc>
        <w:tc>
          <w:tcPr>
            <w:tcW w:w="1329" w:type="dxa"/>
            <w:tcBorders>
              <w:top w:val="nil"/>
              <w:left w:val="nil"/>
              <w:bottom w:val="single" w:sz="12" w:space="0" w:color="auto"/>
              <w:right w:val="single" w:sz="12" w:space="0" w:color="auto"/>
            </w:tcBorders>
            <w:shd w:val="clear" w:color="000000" w:fill="FFFFFF"/>
            <w:noWrap/>
            <w:vAlign w:val="center"/>
          </w:tcPr>
          <w:p w14:paraId="4B8FA821" w14:textId="78F7E8FD" w:rsidR="003310AB" w:rsidRPr="00EE2892" w:rsidRDefault="003310AB" w:rsidP="003310AB">
            <w:pPr>
              <w:spacing w:after="0" w:line="240" w:lineRule="auto"/>
              <w:jc w:val="center"/>
              <w:rPr>
                <w:rFonts w:eastAsia="Times New Roman" w:cstheme="minorHAnsi"/>
                <w:color w:val="000000"/>
                <w:sz w:val="20"/>
                <w:szCs w:val="20"/>
                <w:lang w:eastAsia="sk-SK"/>
              </w:rPr>
            </w:pPr>
            <w:r w:rsidRPr="00EE2892">
              <w:rPr>
                <w:rFonts w:cstheme="minorHAnsi"/>
                <w:color w:val="000000"/>
                <w:sz w:val="20"/>
                <w:szCs w:val="20"/>
              </w:rPr>
              <w:t>87%</w:t>
            </w:r>
          </w:p>
        </w:tc>
      </w:tr>
    </w:tbl>
    <w:p w14:paraId="3D89B1B3" w14:textId="4A526E2D" w:rsidR="00391A78" w:rsidRDefault="00391A78" w:rsidP="00254997">
      <w:pPr>
        <w:pStyle w:val="Nadpis2"/>
        <w:numPr>
          <w:ilvl w:val="0"/>
          <w:numId w:val="0"/>
        </w:numPr>
        <w:rPr>
          <w:vertAlign w:val="subscript"/>
        </w:rPr>
      </w:pPr>
      <w:bookmarkStart w:id="20" w:name="_Toc62576779"/>
      <w:r>
        <w:lastRenderedPageBreak/>
        <w:t xml:space="preserve">5.3 </w:t>
      </w:r>
      <w:r w:rsidR="0060033C">
        <w:t>Zníženie</w:t>
      </w:r>
      <w:r>
        <w:t xml:space="preserve"> emisií CO</w:t>
      </w:r>
      <w:r>
        <w:rPr>
          <w:vertAlign w:val="subscript"/>
        </w:rPr>
        <w:t>2</w:t>
      </w:r>
      <w:bookmarkEnd w:id="20"/>
    </w:p>
    <w:p w14:paraId="7949D192" w14:textId="0B687B5F" w:rsidR="003310AB" w:rsidRPr="00D774AD" w:rsidRDefault="003310AB" w:rsidP="003310AB">
      <w:pPr>
        <w:jc w:val="both"/>
      </w:pPr>
      <w:r>
        <w:t>Zníženie emisií CO</w:t>
      </w:r>
      <w:r>
        <w:rPr>
          <w:vertAlign w:val="subscript"/>
        </w:rPr>
        <w:t>2</w:t>
      </w:r>
      <w:r>
        <w:t xml:space="preserve"> je vypočítané ako rozdiel emisií CO</w:t>
      </w:r>
      <w:r>
        <w:rPr>
          <w:vertAlign w:val="subscript"/>
        </w:rPr>
        <w:t>2</w:t>
      </w:r>
      <w:r>
        <w:t xml:space="preserve"> pred obnovou a po obnove. Zníženie emisií CO</w:t>
      </w:r>
      <w:r>
        <w:rPr>
          <w:vertAlign w:val="subscript"/>
        </w:rPr>
        <w:t>2</w:t>
      </w:r>
      <w:r>
        <w:t xml:space="preserve"> dosahuje od 39 % pri najkonzervatívnejšej obnove po 97 % pri tej najambicióznejšej.</w:t>
      </w:r>
    </w:p>
    <w:p w14:paraId="33D5C4E3" w14:textId="2572FA97" w:rsidR="0060033C" w:rsidRPr="00EE2892" w:rsidRDefault="0060033C" w:rsidP="0060033C">
      <w:pPr>
        <w:spacing w:before="120" w:after="120"/>
        <w:rPr>
          <w:i/>
          <w:iCs/>
        </w:rPr>
      </w:pPr>
      <w:r w:rsidRPr="00EE2892">
        <w:rPr>
          <w:i/>
          <w:iCs/>
        </w:rPr>
        <w:t>Tab</w:t>
      </w:r>
      <w:r w:rsidR="00EE2892" w:rsidRPr="00EE2892">
        <w:rPr>
          <w:i/>
          <w:iCs/>
        </w:rPr>
        <w:t>. 2</w:t>
      </w:r>
      <w:r w:rsidR="009D46B3">
        <w:rPr>
          <w:i/>
          <w:iCs/>
        </w:rPr>
        <w:t>3</w:t>
      </w:r>
      <w:r w:rsidRPr="00EE2892">
        <w:rPr>
          <w:i/>
          <w:iCs/>
        </w:rPr>
        <w:t>: Zníženie emisií CO</w:t>
      </w:r>
      <w:r w:rsidRPr="00EE2892">
        <w:rPr>
          <w:i/>
          <w:iCs/>
          <w:vertAlign w:val="subscript"/>
        </w:rPr>
        <w:t>2</w:t>
      </w:r>
      <w:r w:rsidRPr="00EE2892">
        <w:rPr>
          <w:i/>
          <w:iCs/>
        </w:rPr>
        <w:t xml:space="preserve"> po obnove</w:t>
      </w:r>
    </w:p>
    <w:tbl>
      <w:tblPr>
        <w:tblW w:w="9057" w:type="dxa"/>
        <w:tblCellMar>
          <w:left w:w="70" w:type="dxa"/>
          <w:right w:w="70" w:type="dxa"/>
        </w:tblCellMar>
        <w:tblLook w:val="04A0" w:firstRow="1" w:lastRow="0" w:firstColumn="1" w:lastColumn="0" w:noHBand="0" w:noVBand="1"/>
      </w:tblPr>
      <w:tblGrid>
        <w:gridCol w:w="1267"/>
        <w:gridCol w:w="1267"/>
        <w:gridCol w:w="1329"/>
        <w:gridCol w:w="1268"/>
        <w:gridCol w:w="1329"/>
        <w:gridCol w:w="1268"/>
        <w:gridCol w:w="1329"/>
      </w:tblGrid>
      <w:tr w:rsidR="0060033C" w:rsidRPr="0060033C" w14:paraId="2F564652" w14:textId="77777777" w:rsidTr="00B754B4">
        <w:trPr>
          <w:trHeight w:val="499"/>
        </w:trPr>
        <w:tc>
          <w:tcPr>
            <w:tcW w:w="1267" w:type="dxa"/>
            <w:vMerge w:val="restart"/>
            <w:tcBorders>
              <w:top w:val="single" w:sz="12" w:space="0" w:color="auto"/>
              <w:left w:val="single" w:sz="12" w:space="0" w:color="auto"/>
              <w:bottom w:val="single" w:sz="8" w:space="0" w:color="000000"/>
              <w:right w:val="single" w:sz="12" w:space="0" w:color="auto"/>
            </w:tcBorders>
            <w:shd w:val="clear" w:color="000000" w:fill="FFFFFF"/>
            <w:noWrap/>
            <w:vAlign w:val="bottom"/>
            <w:hideMark/>
          </w:tcPr>
          <w:p w14:paraId="6CBE7FE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 </w:t>
            </w:r>
          </w:p>
        </w:tc>
        <w:tc>
          <w:tcPr>
            <w:tcW w:w="2596" w:type="dxa"/>
            <w:gridSpan w:val="2"/>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633EC425"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RD_M</w:t>
            </w:r>
          </w:p>
        </w:tc>
        <w:tc>
          <w:tcPr>
            <w:tcW w:w="2597" w:type="dxa"/>
            <w:gridSpan w:val="2"/>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79F7B4DA"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RD_S</w:t>
            </w:r>
          </w:p>
        </w:tc>
        <w:tc>
          <w:tcPr>
            <w:tcW w:w="2597" w:type="dxa"/>
            <w:gridSpan w:val="2"/>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2EE2013D"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RD_V</w:t>
            </w:r>
          </w:p>
        </w:tc>
      </w:tr>
      <w:tr w:rsidR="0060033C" w:rsidRPr="0060033C" w14:paraId="6EFA3F39" w14:textId="77777777" w:rsidTr="00B754B4">
        <w:trPr>
          <w:trHeight w:val="645"/>
        </w:trPr>
        <w:tc>
          <w:tcPr>
            <w:tcW w:w="1267" w:type="dxa"/>
            <w:vMerge/>
            <w:tcBorders>
              <w:top w:val="single" w:sz="4" w:space="0" w:color="auto"/>
              <w:left w:val="single" w:sz="12" w:space="0" w:color="auto"/>
              <w:bottom w:val="single" w:sz="12" w:space="0" w:color="auto"/>
              <w:right w:val="single" w:sz="12" w:space="0" w:color="auto"/>
            </w:tcBorders>
            <w:vAlign w:val="center"/>
            <w:hideMark/>
          </w:tcPr>
          <w:p w14:paraId="1BD4845E" w14:textId="77777777" w:rsidR="0060033C" w:rsidRPr="0060033C" w:rsidRDefault="0060033C" w:rsidP="0060033C">
            <w:pPr>
              <w:spacing w:after="0" w:line="240" w:lineRule="auto"/>
              <w:rPr>
                <w:rFonts w:ascii="Calibri" w:eastAsia="Times New Roman" w:hAnsi="Calibri" w:cs="Times New Roman"/>
                <w:color w:val="000000"/>
                <w:lang w:eastAsia="sk-SK"/>
              </w:rPr>
            </w:pP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42E6D60D" w14:textId="56D82920" w:rsidR="0060033C" w:rsidRPr="0060033C" w:rsidRDefault="00E241C3" w:rsidP="0060033C">
            <w:pPr>
              <w:spacing w:after="0" w:line="240" w:lineRule="auto"/>
              <w:jc w:val="center"/>
              <w:rPr>
                <w:rFonts w:ascii="Calibri" w:eastAsia="Times New Roman" w:hAnsi="Calibri" w:cs="Times New Roman"/>
                <w:color w:val="000000"/>
                <w:lang w:eastAsia="sk-SK"/>
              </w:rPr>
            </w:pPr>
            <w:r w:rsidRPr="00207C11">
              <w:rPr>
                <w:rFonts w:ascii="Calibri" w:eastAsia="Times New Roman" w:hAnsi="Calibri" w:cs="Times New Roman"/>
                <w:color w:val="000000"/>
                <w:sz w:val="20"/>
                <w:szCs w:val="20"/>
                <w:lang w:eastAsia="sk-SK"/>
              </w:rPr>
              <w:t>[kg/a]</w:t>
            </w:r>
          </w:p>
        </w:tc>
        <w:tc>
          <w:tcPr>
            <w:tcW w:w="1329" w:type="dxa"/>
            <w:tcBorders>
              <w:top w:val="nil"/>
              <w:left w:val="nil"/>
              <w:bottom w:val="single" w:sz="12" w:space="0" w:color="auto"/>
              <w:right w:val="single" w:sz="12" w:space="0" w:color="auto"/>
            </w:tcBorders>
            <w:shd w:val="clear" w:color="000000" w:fill="FFFFFF"/>
            <w:vAlign w:val="center"/>
            <w:hideMark/>
          </w:tcPr>
          <w:p w14:paraId="2CAE8AA3"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Percentuálne zníženie</w:t>
            </w:r>
          </w:p>
        </w:tc>
        <w:tc>
          <w:tcPr>
            <w:tcW w:w="1268" w:type="dxa"/>
            <w:tcBorders>
              <w:top w:val="nil"/>
              <w:left w:val="single" w:sz="12" w:space="0" w:color="auto"/>
              <w:bottom w:val="single" w:sz="12" w:space="0" w:color="auto"/>
              <w:right w:val="single" w:sz="4" w:space="0" w:color="auto"/>
            </w:tcBorders>
            <w:shd w:val="clear" w:color="000000" w:fill="FFFFFF"/>
            <w:noWrap/>
            <w:vAlign w:val="center"/>
            <w:hideMark/>
          </w:tcPr>
          <w:p w14:paraId="3F0967DB" w14:textId="6FA05F42" w:rsidR="0060033C" w:rsidRPr="0060033C" w:rsidRDefault="00E241C3" w:rsidP="0060033C">
            <w:pPr>
              <w:spacing w:after="0" w:line="240" w:lineRule="auto"/>
              <w:jc w:val="center"/>
              <w:rPr>
                <w:rFonts w:ascii="Calibri" w:eastAsia="Times New Roman" w:hAnsi="Calibri" w:cs="Times New Roman"/>
                <w:color w:val="000000"/>
                <w:lang w:eastAsia="sk-SK"/>
              </w:rPr>
            </w:pPr>
            <w:r w:rsidRPr="00207C11">
              <w:rPr>
                <w:rFonts w:ascii="Calibri" w:eastAsia="Times New Roman" w:hAnsi="Calibri" w:cs="Times New Roman"/>
                <w:color w:val="000000"/>
                <w:sz w:val="20"/>
                <w:szCs w:val="20"/>
                <w:lang w:eastAsia="sk-SK"/>
              </w:rPr>
              <w:t>[kg/a]</w:t>
            </w:r>
          </w:p>
        </w:tc>
        <w:tc>
          <w:tcPr>
            <w:tcW w:w="1329" w:type="dxa"/>
            <w:tcBorders>
              <w:top w:val="nil"/>
              <w:left w:val="nil"/>
              <w:bottom w:val="single" w:sz="12" w:space="0" w:color="auto"/>
              <w:right w:val="single" w:sz="12" w:space="0" w:color="auto"/>
            </w:tcBorders>
            <w:shd w:val="clear" w:color="000000" w:fill="FFFFFF"/>
            <w:vAlign w:val="center"/>
            <w:hideMark/>
          </w:tcPr>
          <w:p w14:paraId="66E211D3"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Percentuálne zníženie</w:t>
            </w:r>
          </w:p>
        </w:tc>
        <w:tc>
          <w:tcPr>
            <w:tcW w:w="1268" w:type="dxa"/>
            <w:tcBorders>
              <w:top w:val="nil"/>
              <w:left w:val="single" w:sz="12" w:space="0" w:color="auto"/>
              <w:bottom w:val="single" w:sz="12" w:space="0" w:color="auto"/>
              <w:right w:val="single" w:sz="4" w:space="0" w:color="auto"/>
            </w:tcBorders>
            <w:shd w:val="clear" w:color="000000" w:fill="FFFFFF"/>
            <w:noWrap/>
            <w:vAlign w:val="center"/>
            <w:hideMark/>
          </w:tcPr>
          <w:p w14:paraId="09D2C09E" w14:textId="40D4C94A" w:rsidR="0060033C" w:rsidRPr="0060033C" w:rsidRDefault="00E241C3" w:rsidP="0060033C">
            <w:pPr>
              <w:spacing w:after="0" w:line="240" w:lineRule="auto"/>
              <w:jc w:val="center"/>
              <w:rPr>
                <w:rFonts w:ascii="Calibri" w:eastAsia="Times New Roman" w:hAnsi="Calibri" w:cs="Times New Roman"/>
                <w:color w:val="000000"/>
                <w:lang w:eastAsia="sk-SK"/>
              </w:rPr>
            </w:pPr>
            <w:r w:rsidRPr="00207C11">
              <w:rPr>
                <w:rFonts w:ascii="Calibri" w:eastAsia="Times New Roman" w:hAnsi="Calibri" w:cs="Times New Roman"/>
                <w:color w:val="000000"/>
                <w:sz w:val="20"/>
                <w:szCs w:val="20"/>
                <w:lang w:eastAsia="sk-SK"/>
              </w:rPr>
              <w:t>[kg/a]</w:t>
            </w:r>
          </w:p>
        </w:tc>
        <w:tc>
          <w:tcPr>
            <w:tcW w:w="1329" w:type="dxa"/>
            <w:tcBorders>
              <w:top w:val="nil"/>
              <w:left w:val="nil"/>
              <w:bottom w:val="single" w:sz="12" w:space="0" w:color="auto"/>
              <w:right w:val="single" w:sz="12" w:space="0" w:color="auto"/>
            </w:tcBorders>
            <w:shd w:val="clear" w:color="000000" w:fill="FFFFFF"/>
            <w:vAlign w:val="center"/>
            <w:hideMark/>
          </w:tcPr>
          <w:p w14:paraId="753435A0"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Percentuálne zníženie</w:t>
            </w:r>
          </w:p>
        </w:tc>
      </w:tr>
      <w:tr w:rsidR="0060033C" w:rsidRPr="0060033C" w14:paraId="63FC5F05" w14:textId="77777777" w:rsidTr="003310AB">
        <w:trPr>
          <w:trHeight w:val="397"/>
        </w:trPr>
        <w:tc>
          <w:tcPr>
            <w:tcW w:w="1267"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1158508A"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RD_P1-O1</w:t>
            </w:r>
          </w:p>
        </w:tc>
        <w:tc>
          <w:tcPr>
            <w:tcW w:w="126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4168817"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1047,9</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6F6F988B"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81%</w:t>
            </w:r>
          </w:p>
        </w:tc>
        <w:tc>
          <w:tcPr>
            <w:tcW w:w="1268"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273C038F"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1211,1</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4461508D"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81%</w:t>
            </w:r>
          </w:p>
        </w:tc>
        <w:tc>
          <w:tcPr>
            <w:tcW w:w="1268"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45C15A0"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1685,9</w:t>
            </w:r>
          </w:p>
        </w:tc>
        <w:tc>
          <w:tcPr>
            <w:tcW w:w="1329" w:type="dxa"/>
            <w:tcBorders>
              <w:top w:val="single" w:sz="12" w:space="0" w:color="auto"/>
              <w:left w:val="nil"/>
              <w:bottom w:val="single" w:sz="4" w:space="0" w:color="auto"/>
              <w:right w:val="single" w:sz="12" w:space="0" w:color="auto"/>
            </w:tcBorders>
            <w:shd w:val="clear" w:color="000000" w:fill="FFFFFF"/>
            <w:noWrap/>
            <w:vAlign w:val="center"/>
            <w:hideMark/>
          </w:tcPr>
          <w:p w14:paraId="3BB68440"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80%</w:t>
            </w:r>
          </w:p>
        </w:tc>
      </w:tr>
      <w:tr w:rsidR="0060033C" w:rsidRPr="0060033C" w14:paraId="7DAC0A43" w14:textId="77777777" w:rsidTr="003310AB">
        <w:trPr>
          <w:trHeight w:val="397"/>
        </w:trPr>
        <w:tc>
          <w:tcPr>
            <w:tcW w:w="1267" w:type="dxa"/>
            <w:tcBorders>
              <w:top w:val="nil"/>
              <w:left w:val="single" w:sz="12" w:space="0" w:color="auto"/>
              <w:bottom w:val="single" w:sz="4" w:space="0" w:color="auto"/>
              <w:right w:val="single" w:sz="12" w:space="0" w:color="auto"/>
            </w:tcBorders>
            <w:shd w:val="clear" w:color="000000" w:fill="FFFFFF"/>
            <w:vAlign w:val="center"/>
            <w:hideMark/>
          </w:tcPr>
          <w:p w14:paraId="63D61F80"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RD_P1-O2</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288365CA"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549,0</w:t>
            </w:r>
          </w:p>
        </w:tc>
        <w:tc>
          <w:tcPr>
            <w:tcW w:w="1329" w:type="dxa"/>
            <w:tcBorders>
              <w:top w:val="nil"/>
              <w:left w:val="nil"/>
              <w:bottom w:val="single" w:sz="4" w:space="0" w:color="auto"/>
              <w:right w:val="single" w:sz="12" w:space="0" w:color="auto"/>
            </w:tcBorders>
            <w:shd w:val="clear" w:color="000000" w:fill="FFFFFF"/>
            <w:noWrap/>
            <w:vAlign w:val="center"/>
            <w:hideMark/>
          </w:tcPr>
          <w:p w14:paraId="53E4CCA0"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42%</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0B8AF297"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624,5</w:t>
            </w:r>
          </w:p>
        </w:tc>
        <w:tc>
          <w:tcPr>
            <w:tcW w:w="1329" w:type="dxa"/>
            <w:tcBorders>
              <w:top w:val="nil"/>
              <w:left w:val="nil"/>
              <w:bottom w:val="single" w:sz="4" w:space="0" w:color="auto"/>
              <w:right w:val="single" w:sz="12" w:space="0" w:color="auto"/>
            </w:tcBorders>
            <w:shd w:val="clear" w:color="000000" w:fill="FFFFFF"/>
            <w:noWrap/>
            <w:vAlign w:val="center"/>
            <w:hideMark/>
          </w:tcPr>
          <w:p w14:paraId="6C8943E0"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42%</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68FDCAFA"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820,5</w:t>
            </w:r>
          </w:p>
        </w:tc>
        <w:tc>
          <w:tcPr>
            <w:tcW w:w="1329" w:type="dxa"/>
            <w:tcBorders>
              <w:top w:val="nil"/>
              <w:left w:val="nil"/>
              <w:bottom w:val="single" w:sz="4" w:space="0" w:color="auto"/>
              <w:right w:val="single" w:sz="12" w:space="0" w:color="auto"/>
            </w:tcBorders>
            <w:shd w:val="clear" w:color="000000" w:fill="FFFFFF"/>
            <w:noWrap/>
            <w:vAlign w:val="center"/>
            <w:hideMark/>
          </w:tcPr>
          <w:p w14:paraId="6B60DA85"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39%</w:t>
            </w:r>
          </w:p>
        </w:tc>
      </w:tr>
      <w:tr w:rsidR="0060033C" w:rsidRPr="0060033C" w14:paraId="5DEA1E70" w14:textId="77777777" w:rsidTr="003310AB">
        <w:trPr>
          <w:trHeight w:val="397"/>
        </w:trPr>
        <w:tc>
          <w:tcPr>
            <w:tcW w:w="1267" w:type="dxa"/>
            <w:tcBorders>
              <w:top w:val="nil"/>
              <w:left w:val="single" w:sz="12" w:space="0" w:color="auto"/>
              <w:bottom w:val="single" w:sz="8" w:space="0" w:color="auto"/>
              <w:right w:val="single" w:sz="12" w:space="0" w:color="auto"/>
            </w:tcBorders>
            <w:shd w:val="clear" w:color="000000" w:fill="FFFFFF"/>
            <w:vAlign w:val="center"/>
            <w:hideMark/>
          </w:tcPr>
          <w:p w14:paraId="4C12A68C" w14:textId="4E1B41EF"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RD_P1</w:t>
            </w:r>
            <w:r w:rsidR="00DE3127">
              <w:rPr>
                <w:rFonts w:ascii="Calibri" w:eastAsia="Times New Roman" w:hAnsi="Calibri" w:cs="Times New Roman"/>
                <w:color w:val="000000"/>
                <w:lang w:eastAsia="sk-SK"/>
              </w:rPr>
              <w:t>-</w:t>
            </w:r>
            <w:r w:rsidRPr="0060033C">
              <w:rPr>
                <w:rFonts w:ascii="Calibri" w:eastAsia="Times New Roman" w:hAnsi="Calibri" w:cs="Times New Roman"/>
                <w:color w:val="000000"/>
                <w:lang w:eastAsia="sk-SK"/>
              </w:rPr>
              <w:t>O3</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028C2C98"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668,7</w:t>
            </w:r>
          </w:p>
        </w:tc>
        <w:tc>
          <w:tcPr>
            <w:tcW w:w="1329" w:type="dxa"/>
            <w:tcBorders>
              <w:top w:val="nil"/>
              <w:left w:val="nil"/>
              <w:bottom w:val="single" w:sz="4" w:space="0" w:color="auto"/>
              <w:right w:val="single" w:sz="12" w:space="0" w:color="auto"/>
            </w:tcBorders>
            <w:shd w:val="clear" w:color="000000" w:fill="FFFFFF"/>
            <w:noWrap/>
            <w:vAlign w:val="center"/>
            <w:hideMark/>
          </w:tcPr>
          <w:p w14:paraId="56976DA1"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52%</w:t>
            </w:r>
          </w:p>
        </w:tc>
        <w:tc>
          <w:tcPr>
            <w:tcW w:w="1268" w:type="dxa"/>
            <w:tcBorders>
              <w:top w:val="nil"/>
              <w:left w:val="single" w:sz="12" w:space="0" w:color="auto"/>
              <w:bottom w:val="single" w:sz="8" w:space="0" w:color="auto"/>
              <w:right w:val="single" w:sz="4" w:space="0" w:color="auto"/>
            </w:tcBorders>
            <w:shd w:val="clear" w:color="000000" w:fill="FFFFFF"/>
            <w:noWrap/>
            <w:vAlign w:val="center"/>
            <w:hideMark/>
          </w:tcPr>
          <w:p w14:paraId="0A558BFE"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746,0</w:t>
            </w:r>
          </w:p>
        </w:tc>
        <w:tc>
          <w:tcPr>
            <w:tcW w:w="1329" w:type="dxa"/>
            <w:tcBorders>
              <w:top w:val="nil"/>
              <w:left w:val="nil"/>
              <w:bottom w:val="single" w:sz="4" w:space="0" w:color="auto"/>
              <w:right w:val="single" w:sz="12" w:space="0" w:color="auto"/>
            </w:tcBorders>
            <w:shd w:val="clear" w:color="000000" w:fill="FFFFFF"/>
            <w:noWrap/>
            <w:vAlign w:val="center"/>
            <w:hideMark/>
          </w:tcPr>
          <w:p w14:paraId="0EE832D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50%</w:t>
            </w:r>
          </w:p>
        </w:tc>
        <w:tc>
          <w:tcPr>
            <w:tcW w:w="1268" w:type="dxa"/>
            <w:tcBorders>
              <w:top w:val="nil"/>
              <w:left w:val="single" w:sz="12" w:space="0" w:color="auto"/>
              <w:bottom w:val="single" w:sz="8" w:space="0" w:color="auto"/>
              <w:right w:val="single" w:sz="4" w:space="0" w:color="auto"/>
            </w:tcBorders>
            <w:shd w:val="clear" w:color="000000" w:fill="FFFFFF"/>
            <w:noWrap/>
            <w:vAlign w:val="center"/>
            <w:hideMark/>
          </w:tcPr>
          <w:p w14:paraId="7CF42CD6"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1144,4</w:t>
            </w:r>
          </w:p>
        </w:tc>
        <w:tc>
          <w:tcPr>
            <w:tcW w:w="1329" w:type="dxa"/>
            <w:tcBorders>
              <w:top w:val="nil"/>
              <w:left w:val="nil"/>
              <w:bottom w:val="single" w:sz="4" w:space="0" w:color="auto"/>
              <w:right w:val="single" w:sz="12" w:space="0" w:color="auto"/>
            </w:tcBorders>
            <w:shd w:val="clear" w:color="000000" w:fill="FFFFFF"/>
            <w:noWrap/>
            <w:vAlign w:val="center"/>
            <w:hideMark/>
          </w:tcPr>
          <w:p w14:paraId="3E6904C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54%</w:t>
            </w:r>
          </w:p>
        </w:tc>
      </w:tr>
      <w:tr w:rsidR="0060033C" w:rsidRPr="0060033C" w14:paraId="429B8A8B" w14:textId="77777777" w:rsidTr="003310AB">
        <w:trPr>
          <w:trHeight w:val="397"/>
        </w:trPr>
        <w:tc>
          <w:tcPr>
            <w:tcW w:w="1267" w:type="dxa"/>
            <w:tcBorders>
              <w:top w:val="nil"/>
              <w:left w:val="single" w:sz="12" w:space="0" w:color="auto"/>
              <w:bottom w:val="single" w:sz="4" w:space="0" w:color="auto"/>
              <w:right w:val="single" w:sz="12" w:space="0" w:color="auto"/>
            </w:tcBorders>
            <w:shd w:val="clear" w:color="000000" w:fill="FFFFFF"/>
            <w:vAlign w:val="center"/>
            <w:hideMark/>
          </w:tcPr>
          <w:p w14:paraId="799E9317"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RD_P2-O1</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537DC27B"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8919,8</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1A9ABC88"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97%</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3D3F6AB3"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10318,9</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44ED1ED5"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97%</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57C4A7FF"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14612,8</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2E6DBA94"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97%</w:t>
            </w:r>
          </w:p>
        </w:tc>
      </w:tr>
      <w:tr w:rsidR="0060033C" w:rsidRPr="0060033C" w14:paraId="1B52C3D7" w14:textId="77777777" w:rsidTr="003310AB">
        <w:trPr>
          <w:trHeight w:val="397"/>
        </w:trPr>
        <w:tc>
          <w:tcPr>
            <w:tcW w:w="1267" w:type="dxa"/>
            <w:tcBorders>
              <w:top w:val="nil"/>
              <w:left w:val="single" w:sz="12" w:space="0" w:color="auto"/>
              <w:bottom w:val="single" w:sz="4" w:space="0" w:color="auto"/>
              <w:right w:val="single" w:sz="12" w:space="0" w:color="auto"/>
            </w:tcBorders>
            <w:shd w:val="clear" w:color="000000" w:fill="FFFFFF"/>
            <w:vAlign w:val="center"/>
            <w:hideMark/>
          </w:tcPr>
          <w:p w14:paraId="641EDAF9"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RD_P2-O2</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0EC3728E"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8420,9</w:t>
            </w:r>
          </w:p>
        </w:tc>
        <w:tc>
          <w:tcPr>
            <w:tcW w:w="1329" w:type="dxa"/>
            <w:tcBorders>
              <w:top w:val="nil"/>
              <w:left w:val="nil"/>
              <w:bottom w:val="single" w:sz="4" w:space="0" w:color="auto"/>
              <w:right w:val="single" w:sz="12" w:space="0" w:color="auto"/>
            </w:tcBorders>
            <w:shd w:val="clear" w:color="000000" w:fill="FFFFFF"/>
            <w:noWrap/>
            <w:vAlign w:val="center"/>
            <w:hideMark/>
          </w:tcPr>
          <w:p w14:paraId="7B0E5AD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92%</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70C0FA12"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9732,3</w:t>
            </w:r>
          </w:p>
        </w:tc>
        <w:tc>
          <w:tcPr>
            <w:tcW w:w="1329" w:type="dxa"/>
            <w:tcBorders>
              <w:top w:val="nil"/>
              <w:left w:val="nil"/>
              <w:bottom w:val="single" w:sz="4" w:space="0" w:color="auto"/>
              <w:right w:val="single" w:sz="12" w:space="0" w:color="auto"/>
            </w:tcBorders>
            <w:shd w:val="clear" w:color="000000" w:fill="FFFFFF"/>
            <w:noWrap/>
            <w:vAlign w:val="center"/>
            <w:hideMark/>
          </w:tcPr>
          <w:p w14:paraId="36467575"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92%</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4814D927"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13747,4</w:t>
            </w:r>
          </w:p>
        </w:tc>
        <w:tc>
          <w:tcPr>
            <w:tcW w:w="1329" w:type="dxa"/>
            <w:tcBorders>
              <w:top w:val="nil"/>
              <w:left w:val="nil"/>
              <w:bottom w:val="single" w:sz="4" w:space="0" w:color="auto"/>
              <w:right w:val="single" w:sz="12" w:space="0" w:color="auto"/>
            </w:tcBorders>
            <w:shd w:val="clear" w:color="000000" w:fill="FFFFFF"/>
            <w:noWrap/>
            <w:vAlign w:val="center"/>
            <w:hideMark/>
          </w:tcPr>
          <w:p w14:paraId="62DB8A3A"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91%</w:t>
            </w:r>
          </w:p>
        </w:tc>
      </w:tr>
      <w:tr w:rsidR="0060033C" w:rsidRPr="0060033C" w14:paraId="51F9C918" w14:textId="77777777" w:rsidTr="003310AB">
        <w:trPr>
          <w:trHeight w:val="397"/>
        </w:trPr>
        <w:tc>
          <w:tcPr>
            <w:tcW w:w="1267" w:type="dxa"/>
            <w:tcBorders>
              <w:top w:val="nil"/>
              <w:left w:val="single" w:sz="12" w:space="0" w:color="auto"/>
              <w:bottom w:val="single" w:sz="8" w:space="0" w:color="auto"/>
              <w:right w:val="single" w:sz="12" w:space="0" w:color="auto"/>
            </w:tcBorders>
            <w:shd w:val="clear" w:color="000000" w:fill="FFFFFF"/>
            <w:vAlign w:val="center"/>
            <w:hideMark/>
          </w:tcPr>
          <w:p w14:paraId="512FD0BE"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RD_P2-O3</w:t>
            </w:r>
          </w:p>
        </w:tc>
        <w:tc>
          <w:tcPr>
            <w:tcW w:w="1267" w:type="dxa"/>
            <w:tcBorders>
              <w:top w:val="nil"/>
              <w:left w:val="single" w:sz="12" w:space="0" w:color="auto"/>
              <w:bottom w:val="single" w:sz="8" w:space="0" w:color="auto"/>
              <w:right w:val="single" w:sz="4" w:space="0" w:color="auto"/>
            </w:tcBorders>
            <w:shd w:val="clear" w:color="000000" w:fill="FFFFFF"/>
            <w:noWrap/>
            <w:vAlign w:val="center"/>
            <w:hideMark/>
          </w:tcPr>
          <w:p w14:paraId="3267E75C"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8540,6</w:t>
            </w:r>
          </w:p>
        </w:tc>
        <w:tc>
          <w:tcPr>
            <w:tcW w:w="1329" w:type="dxa"/>
            <w:tcBorders>
              <w:top w:val="nil"/>
              <w:left w:val="nil"/>
              <w:bottom w:val="single" w:sz="4" w:space="0" w:color="auto"/>
              <w:right w:val="single" w:sz="12" w:space="0" w:color="auto"/>
            </w:tcBorders>
            <w:shd w:val="clear" w:color="000000" w:fill="FFFFFF"/>
            <w:noWrap/>
            <w:vAlign w:val="center"/>
            <w:hideMark/>
          </w:tcPr>
          <w:p w14:paraId="57238232"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93%</w:t>
            </w:r>
          </w:p>
        </w:tc>
        <w:tc>
          <w:tcPr>
            <w:tcW w:w="1268" w:type="dxa"/>
            <w:tcBorders>
              <w:top w:val="nil"/>
              <w:left w:val="single" w:sz="12" w:space="0" w:color="auto"/>
              <w:bottom w:val="single" w:sz="8" w:space="0" w:color="auto"/>
              <w:right w:val="single" w:sz="4" w:space="0" w:color="auto"/>
            </w:tcBorders>
            <w:shd w:val="clear" w:color="000000" w:fill="FFFFFF"/>
            <w:noWrap/>
            <w:vAlign w:val="center"/>
            <w:hideMark/>
          </w:tcPr>
          <w:p w14:paraId="0846A6D6"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9853,8</w:t>
            </w:r>
          </w:p>
        </w:tc>
        <w:tc>
          <w:tcPr>
            <w:tcW w:w="1329" w:type="dxa"/>
            <w:tcBorders>
              <w:top w:val="nil"/>
              <w:left w:val="nil"/>
              <w:bottom w:val="single" w:sz="4" w:space="0" w:color="auto"/>
              <w:right w:val="single" w:sz="12" w:space="0" w:color="auto"/>
            </w:tcBorders>
            <w:shd w:val="clear" w:color="000000" w:fill="FFFFFF"/>
            <w:noWrap/>
            <w:vAlign w:val="center"/>
            <w:hideMark/>
          </w:tcPr>
          <w:p w14:paraId="197B1E16"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93%</w:t>
            </w:r>
          </w:p>
        </w:tc>
        <w:tc>
          <w:tcPr>
            <w:tcW w:w="1268" w:type="dxa"/>
            <w:tcBorders>
              <w:top w:val="nil"/>
              <w:left w:val="single" w:sz="12" w:space="0" w:color="auto"/>
              <w:bottom w:val="single" w:sz="8" w:space="0" w:color="auto"/>
              <w:right w:val="single" w:sz="4" w:space="0" w:color="auto"/>
            </w:tcBorders>
            <w:shd w:val="clear" w:color="000000" w:fill="FFFFFF"/>
            <w:noWrap/>
            <w:vAlign w:val="center"/>
            <w:hideMark/>
          </w:tcPr>
          <w:p w14:paraId="233DEA44"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14071,3</w:t>
            </w:r>
          </w:p>
        </w:tc>
        <w:tc>
          <w:tcPr>
            <w:tcW w:w="1329" w:type="dxa"/>
            <w:tcBorders>
              <w:top w:val="nil"/>
              <w:left w:val="nil"/>
              <w:bottom w:val="single" w:sz="4" w:space="0" w:color="auto"/>
              <w:right w:val="single" w:sz="12" w:space="0" w:color="auto"/>
            </w:tcBorders>
            <w:shd w:val="clear" w:color="000000" w:fill="FFFFFF"/>
            <w:noWrap/>
            <w:vAlign w:val="center"/>
            <w:hideMark/>
          </w:tcPr>
          <w:p w14:paraId="1950F5F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94%</w:t>
            </w:r>
          </w:p>
        </w:tc>
      </w:tr>
      <w:tr w:rsidR="0060033C" w:rsidRPr="0060033C" w14:paraId="34F23481" w14:textId="77777777" w:rsidTr="003310AB">
        <w:trPr>
          <w:trHeight w:val="397"/>
        </w:trPr>
        <w:tc>
          <w:tcPr>
            <w:tcW w:w="1267" w:type="dxa"/>
            <w:tcBorders>
              <w:top w:val="nil"/>
              <w:left w:val="single" w:sz="12" w:space="0" w:color="auto"/>
              <w:bottom w:val="single" w:sz="4" w:space="0" w:color="auto"/>
              <w:right w:val="single" w:sz="12" w:space="0" w:color="auto"/>
            </w:tcBorders>
            <w:shd w:val="clear" w:color="000000" w:fill="FFFFFF"/>
            <w:vAlign w:val="center"/>
            <w:hideMark/>
          </w:tcPr>
          <w:p w14:paraId="76A483EB"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RD_P3-O1</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2065C549"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5383,3</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7B4E3F2F"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96%</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03DADAB9"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6735,9</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7E05AD5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96%</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3AD8D7E6"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9654,3</w:t>
            </w:r>
          </w:p>
        </w:tc>
        <w:tc>
          <w:tcPr>
            <w:tcW w:w="1329" w:type="dxa"/>
            <w:tcBorders>
              <w:top w:val="single" w:sz="8" w:space="0" w:color="auto"/>
              <w:left w:val="nil"/>
              <w:bottom w:val="single" w:sz="4" w:space="0" w:color="auto"/>
              <w:right w:val="single" w:sz="12" w:space="0" w:color="auto"/>
            </w:tcBorders>
            <w:shd w:val="clear" w:color="000000" w:fill="FFFFFF"/>
            <w:noWrap/>
            <w:vAlign w:val="center"/>
            <w:hideMark/>
          </w:tcPr>
          <w:p w14:paraId="2BDF69FF"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96%</w:t>
            </w:r>
          </w:p>
        </w:tc>
      </w:tr>
      <w:tr w:rsidR="0060033C" w:rsidRPr="0060033C" w14:paraId="382FAAC8" w14:textId="77777777" w:rsidTr="003310AB">
        <w:trPr>
          <w:trHeight w:val="397"/>
        </w:trPr>
        <w:tc>
          <w:tcPr>
            <w:tcW w:w="1267" w:type="dxa"/>
            <w:tcBorders>
              <w:top w:val="nil"/>
              <w:left w:val="single" w:sz="12" w:space="0" w:color="auto"/>
              <w:bottom w:val="single" w:sz="4" w:space="0" w:color="auto"/>
              <w:right w:val="single" w:sz="12" w:space="0" w:color="auto"/>
            </w:tcBorders>
            <w:shd w:val="clear" w:color="000000" w:fill="FFFFFF"/>
            <w:vAlign w:val="center"/>
            <w:hideMark/>
          </w:tcPr>
          <w:p w14:paraId="4AD4FCAC"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RD_P3-O2</w:t>
            </w:r>
          </w:p>
        </w:tc>
        <w:tc>
          <w:tcPr>
            <w:tcW w:w="1267" w:type="dxa"/>
            <w:tcBorders>
              <w:top w:val="nil"/>
              <w:left w:val="single" w:sz="12" w:space="0" w:color="auto"/>
              <w:bottom w:val="single" w:sz="4" w:space="0" w:color="auto"/>
              <w:right w:val="single" w:sz="4" w:space="0" w:color="auto"/>
            </w:tcBorders>
            <w:shd w:val="clear" w:color="000000" w:fill="FFFFFF"/>
            <w:noWrap/>
            <w:vAlign w:val="center"/>
            <w:hideMark/>
          </w:tcPr>
          <w:p w14:paraId="67EE3B15"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4884,4</w:t>
            </w:r>
          </w:p>
        </w:tc>
        <w:tc>
          <w:tcPr>
            <w:tcW w:w="1329" w:type="dxa"/>
            <w:tcBorders>
              <w:top w:val="nil"/>
              <w:left w:val="nil"/>
              <w:bottom w:val="single" w:sz="4" w:space="0" w:color="auto"/>
              <w:right w:val="single" w:sz="12" w:space="0" w:color="auto"/>
            </w:tcBorders>
            <w:shd w:val="clear" w:color="000000" w:fill="FFFFFF"/>
            <w:noWrap/>
            <w:vAlign w:val="center"/>
            <w:hideMark/>
          </w:tcPr>
          <w:p w14:paraId="395D8459"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87%</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53AB1D80"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6149,3</w:t>
            </w:r>
          </w:p>
        </w:tc>
        <w:tc>
          <w:tcPr>
            <w:tcW w:w="1329" w:type="dxa"/>
            <w:tcBorders>
              <w:top w:val="nil"/>
              <w:left w:val="nil"/>
              <w:bottom w:val="single" w:sz="4" w:space="0" w:color="auto"/>
              <w:right w:val="single" w:sz="12" w:space="0" w:color="auto"/>
            </w:tcBorders>
            <w:shd w:val="clear" w:color="000000" w:fill="FFFFFF"/>
            <w:noWrap/>
            <w:vAlign w:val="center"/>
            <w:hideMark/>
          </w:tcPr>
          <w:p w14:paraId="6697A92A"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88%</w:t>
            </w:r>
          </w:p>
        </w:tc>
        <w:tc>
          <w:tcPr>
            <w:tcW w:w="1268" w:type="dxa"/>
            <w:tcBorders>
              <w:top w:val="nil"/>
              <w:left w:val="single" w:sz="12" w:space="0" w:color="auto"/>
              <w:bottom w:val="single" w:sz="4" w:space="0" w:color="auto"/>
              <w:right w:val="single" w:sz="4" w:space="0" w:color="auto"/>
            </w:tcBorders>
            <w:shd w:val="clear" w:color="000000" w:fill="FFFFFF"/>
            <w:noWrap/>
            <w:vAlign w:val="center"/>
            <w:hideMark/>
          </w:tcPr>
          <w:p w14:paraId="63419F26"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8788,9</w:t>
            </w:r>
          </w:p>
        </w:tc>
        <w:tc>
          <w:tcPr>
            <w:tcW w:w="1329" w:type="dxa"/>
            <w:tcBorders>
              <w:top w:val="nil"/>
              <w:left w:val="nil"/>
              <w:bottom w:val="single" w:sz="4" w:space="0" w:color="auto"/>
              <w:right w:val="single" w:sz="12" w:space="0" w:color="auto"/>
            </w:tcBorders>
            <w:shd w:val="clear" w:color="000000" w:fill="FFFFFF"/>
            <w:noWrap/>
            <w:vAlign w:val="center"/>
            <w:hideMark/>
          </w:tcPr>
          <w:p w14:paraId="67836E69"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87%</w:t>
            </w:r>
          </w:p>
        </w:tc>
      </w:tr>
      <w:tr w:rsidR="0060033C" w:rsidRPr="0060033C" w14:paraId="34703430" w14:textId="77777777" w:rsidTr="003310AB">
        <w:trPr>
          <w:trHeight w:val="397"/>
        </w:trPr>
        <w:tc>
          <w:tcPr>
            <w:tcW w:w="1267" w:type="dxa"/>
            <w:tcBorders>
              <w:top w:val="nil"/>
              <w:left w:val="single" w:sz="12" w:space="0" w:color="auto"/>
              <w:bottom w:val="single" w:sz="12" w:space="0" w:color="auto"/>
              <w:right w:val="single" w:sz="12" w:space="0" w:color="auto"/>
            </w:tcBorders>
            <w:shd w:val="clear" w:color="000000" w:fill="FFFFFF"/>
            <w:vAlign w:val="center"/>
            <w:hideMark/>
          </w:tcPr>
          <w:p w14:paraId="17B77F12" w14:textId="77777777" w:rsidR="0060033C" w:rsidRPr="0060033C" w:rsidRDefault="0060033C" w:rsidP="0060033C">
            <w:pPr>
              <w:spacing w:after="0" w:line="240" w:lineRule="auto"/>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RD_P3-O3</w:t>
            </w:r>
          </w:p>
        </w:tc>
        <w:tc>
          <w:tcPr>
            <w:tcW w:w="1267" w:type="dxa"/>
            <w:tcBorders>
              <w:top w:val="nil"/>
              <w:left w:val="single" w:sz="12" w:space="0" w:color="auto"/>
              <w:bottom w:val="single" w:sz="12" w:space="0" w:color="auto"/>
              <w:right w:val="single" w:sz="4" w:space="0" w:color="auto"/>
            </w:tcBorders>
            <w:shd w:val="clear" w:color="000000" w:fill="FFFFFF"/>
            <w:noWrap/>
            <w:vAlign w:val="center"/>
            <w:hideMark/>
          </w:tcPr>
          <w:p w14:paraId="759282CB"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5004,1</w:t>
            </w:r>
          </w:p>
        </w:tc>
        <w:tc>
          <w:tcPr>
            <w:tcW w:w="1329" w:type="dxa"/>
            <w:tcBorders>
              <w:top w:val="nil"/>
              <w:left w:val="nil"/>
              <w:bottom w:val="single" w:sz="12" w:space="0" w:color="auto"/>
              <w:right w:val="single" w:sz="12" w:space="0" w:color="auto"/>
            </w:tcBorders>
            <w:shd w:val="clear" w:color="000000" w:fill="FFFFFF"/>
            <w:noWrap/>
            <w:vAlign w:val="center"/>
            <w:hideMark/>
          </w:tcPr>
          <w:p w14:paraId="10B09ADD"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89%</w:t>
            </w:r>
          </w:p>
        </w:tc>
        <w:tc>
          <w:tcPr>
            <w:tcW w:w="1268" w:type="dxa"/>
            <w:tcBorders>
              <w:top w:val="nil"/>
              <w:left w:val="single" w:sz="12" w:space="0" w:color="auto"/>
              <w:bottom w:val="single" w:sz="12" w:space="0" w:color="auto"/>
              <w:right w:val="single" w:sz="4" w:space="0" w:color="auto"/>
            </w:tcBorders>
            <w:shd w:val="clear" w:color="000000" w:fill="FFFFFF"/>
            <w:noWrap/>
            <w:vAlign w:val="center"/>
            <w:hideMark/>
          </w:tcPr>
          <w:p w14:paraId="6231C02A"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6270,8</w:t>
            </w:r>
          </w:p>
        </w:tc>
        <w:tc>
          <w:tcPr>
            <w:tcW w:w="1329" w:type="dxa"/>
            <w:tcBorders>
              <w:top w:val="nil"/>
              <w:left w:val="nil"/>
              <w:bottom w:val="single" w:sz="12" w:space="0" w:color="auto"/>
              <w:right w:val="single" w:sz="12" w:space="0" w:color="auto"/>
            </w:tcBorders>
            <w:shd w:val="clear" w:color="000000" w:fill="FFFFFF"/>
            <w:noWrap/>
            <w:vAlign w:val="center"/>
            <w:hideMark/>
          </w:tcPr>
          <w:p w14:paraId="29A5E7B9"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89%</w:t>
            </w:r>
          </w:p>
        </w:tc>
        <w:tc>
          <w:tcPr>
            <w:tcW w:w="1268" w:type="dxa"/>
            <w:tcBorders>
              <w:top w:val="nil"/>
              <w:left w:val="single" w:sz="12" w:space="0" w:color="auto"/>
              <w:bottom w:val="single" w:sz="12" w:space="0" w:color="auto"/>
              <w:right w:val="single" w:sz="4" w:space="0" w:color="auto"/>
            </w:tcBorders>
            <w:shd w:val="clear" w:color="000000" w:fill="FFFFFF"/>
            <w:noWrap/>
            <w:vAlign w:val="center"/>
            <w:hideMark/>
          </w:tcPr>
          <w:p w14:paraId="5CB75D3A" w14:textId="77777777" w:rsidR="0060033C" w:rsidRPr="0060033C" w:rsidRDefault="0060033C" w:rsidP="0060033C">
            <w:pPr>
              <w:spacing w:after="0" w:line="240" w:lineRule="auto"/>
              <w:jc w:val="center"/>
              <w:rPr>
                <w:rFonts w:ascii="Calibri" w:eastAsia="Times New Roman" w:hAnsi="Calibri" w:cs="Times New Roman"/>
                <w:b/>
                <w:bCs/>
                <w:color w:val="000000"/>
                <w:lang w:eastAsia="sk-SK"/>
              </w:rPr>
            </w:pPr>
            <w:r w:rsidRPr="0060033C">
              <w:rPr>
                <w:rFonts w:ascii="Calibri" w:eastAsia="Times New Roman" w:hAnsi="Calibri" w:cs="Times New Roman"/>
                <w:b/>
                <w:bCs/>
                <w:color w:val="000000"/>
                <w:lang w:eastAsia="sk-SK"/>
              </w:rPr>
              <w:t>9112,8</w:t>
            </w:r>
          </w:p>
        </w:tc>
        <w:tc>
          <w:tcPr>
            <w:tcW w:w="1329" w:type="dxa"/>
            <w:tcBorders>
              <w:top w:val="nil"/>
              <w:left w:val="nil"/>
              <w:bottom w:val="single" w:sz="12" w:space="0" w:color="auto"/>
              <w:right w:val="single" w:sz="12" w:space="0" w:color="auto"/>
            </w:tcBorders>
            <w:shd w:val="clear" w:color="000000" w:fill="FFFFFF"/>
            <w:noWrap/>
            <w:vAlign w:val="center"/>
            <w:hideMark/>
          </w:tcPr>
          <w:p w14:paraId="01805CAE" w14:textId="77777777" w:rsidR="0060033C" w:rsidRPr="0060033C" w:rsidRDefault="0060033C" w:rsidP="0060033C">
            <w:pPr>
              <w:spacing w:after="0" w:line="240" w:lineRule="auto"/>
              <w:jc w:val="center"/>
              <w:rPr>
                <w:rFonts w:ascii="Calibri" w:eastAsia="Times New Roman" w:hAnsi="Calibri" w:cs="Times New Roman"/>
                <w:color w:val="000000"/>
                <w:lang w:eastAsia="sk-SK"/>
              </w:rPr>
            </w:pPr>
            <w:r w:rsidRPr="0060033C">
              <w:rPr>
                <w:rFonts w:ascii="Calibri" w:eastAsia="Times New Roman" w:hAnsi="Calibri" w:cs="Times New Roman"/>
                <w:color w:val="000000"/>
                <w:lang w:eastAsia="sk-SK"/>
              </w:rPr>
              <w:t>91%</w:t>
            </w:r>
          </w:p>
        </w:tc>
      </w:tr>
    </w:tbl>
    <w:p w14:paraId="41BA1BAE" w14:textId="7369E75D" w:rsidR="004E1ED8" w:rsidRDefault="004E1ED8" w:rsidP="004E1ED8">
      <w:pPr>
        <w:spacing w:before="120" w:after="120"/>
      </w:pPr>
    </w:p>
    <w:p w14:paraId="0099C4AD" w14:textId="286B059F" w:rsidR="00391A78" w:rsidRPr="00391A78" w:rsidRDefault="00391A78" w:rsidP="00254997">
      <w:pPr>
        <w:pStyle w:val="Nadpis2"/>
        <w:numPr>
          <w:ilvl w:val="0"/>
          <w:numId w:val="0"/>
        </w:numPr>
      </w:pPr>
      <w:bookmarkStart w:id="21" w:name="_Toc62576780"/>
      <w:r>
        <w:t>5.4 Celkov</w:t>
      </w:r>
      <w:r w:rsidR="001D0FD4">
        <w:t>é</w:t>
      </w:r>
      <w:r>
        <w:t xml:space="preserve"> </w:t>
      </w:r>
      <w:r w:rsidR="001D0FD4">
        <w:t>náklady</w:t>
      </w:r>
      <w:bookmarkEnd w:id="21"/>
    </w:p>
    <w:p w14:paraId="47364E2D" w14:textId="35E7F5E7" w:rsidR="003271B1" w:rsidRDefault="00752E6E" w:rsidP="003F633E">
      <w:pPr>
        <w:spacing w:before="120" w:after="120"/>
        <w:jc w:val="both"/>
      </w:pPr>
      <w:r>
        <w:t>Náklady na obnovu sú stanovené ako súčet nákladov na obnovu tepelnej obálky budovy podľa jednotkových cien prepočítané ploch</w:t>
      </w:r>
      <w:r w:rsidR="00EE2892">
        <w:t>ou danej konštrukcie</w:t>
      </w:r>
      <w:r>
        <w:t xml:space="preserve"> podľa geometrických údajo</w:t>
      </w:r>
      <w:r w:rsidR="00E320AA">
        <w:t>v</w:t>
      </w:r>
      <w:r>
        <w:t xml:space="preserve"> referenčných rodinných domov (viď. tabuľka </w:t>
      </w:r>
      <w:r w:rsidR="00EE2892">
        <w:t>č. 6</w:t>
      </w:r>
      <w:r>
        <w:t>) a nákladov na zdroj energie.</w:t>
      </w:r>
      <w:r w:rsidR="003F633E">
        <w:t xml:space="preserve"> </w:t>
      </w:r>
      <w:r w:rsidR="003F633E" w:rsidRPr="0011637D">
        <w:t>Pr</w:t>
      </w:r>
      <w:r w:rsidR="00EE2892">
        <w:t>i</w:t>
      </w:r>
      <w:r w:rsidR="003F633E" w:rsidRPr="0011637D">
        <w:t xml:space="preserve"> výpoč</w:t>
      </w:r>
      <w:r w:rsidR="00EE2892">
        <w:t>te</w:t>
      </w:r>
      <w:r w:rsidR="003F633E" w:rsidRPr="0011637D">
        <w:t xml:space="preserve"> celkových nákladov je uvažované s jednotnou cenou na projekt v sume 1000 €. </w:t>
      </w:r>
      <w:r>
        <w:t xml:space="preserve"> Jednotkové ceny </w:t>
      </w:r>
      <w:r w:rsidR="0011637D">
        <w:t xml:space="preserve">pre TOB </w:t>
      </w:r>
      <w:r>
        <w:t>vychádzajú z údajov metodiky TSÚS [</w:t>
      </w:r>
      <w:r w:rsidR="005B4055">
        <w:t>9</w:t>
      </w:r>
      <w:r>
        <w:t xml:space="preserve">], ktoré sú upravené podľa trhových cien v roku 2019. </w:t>
      </w:r>
      <w:r w:rsidR="003F633E">
        <w:t xml:space="preserve"> </w:t>
      </w:r>
    </w:p>
    <w:p w14:paraId="29E0AABC" w14:textId="0921EFCF" w:rsidR="00254997" w:rsidRPr="00EE2892" w:rsidRDefault="00254997" w:rsidP="00254997">
      <w:pPr>
        <w:spacing w:before="120" w:after="120" w:line="276" w:lineRule="auto"/>
        <w:rPr>
          <w:rFonts w:cstheme="minorHAnsi"/>
          <w:i/>
          <w:iCs/>
          <w:color w:val="222222"/>
          <w:highlight w:val="yellow"/>
          <w:lang w:eastAsia="sk-SK"/>
        </w:rPr>
      </w:pPr>
      <w:r w:rsidRPr="00EE2892">
        <w:rPr>
          <w:rFonts w:cstheme="minorHAnsi"/>
          <w:i/>
          <w:iCs/>
        </w:rPr>
        <w:t xml:space="preserve">Tab. </w:t>
      </w:r>
      <w:r w:rsidR="00EE2892" w:rsidRPr="00EE2892">
        <w:rPr>
          <w:rFonts w:cstheme="minorHAnsi"/>
          <w:i/>
          <w:iCs/>
        </w:rPr>
        <w:t>2</w:t>
      </w:r>
      <w:r w:rsidR="009D46B3">
        <w:rPr>
          <w:rFonts w:cstheme="minorHAnsi"/>
          <w:i/>
          <w:iCs/>
        </w:rPr>
        <w:t>4</w:t>
      </w:r>
      <w:r w:rsidR="00EB1625" w:rsidRPr="00EE2892">
        <w:rPr>
          <w:rFonts w:cstheme="minorHAnsi"/>
          <w:i/>
          <w:iCs/>
        </w:rPr>
        <w:t>:</w:t>
      </w:r>
      <w:r w:rsidRPr="00EE2892">
        <w:rPr>
          <w:rFonts w:cstheme="minorHAnsi"/>
          <w:i/>
          <w:iCs/>
        </w:rPr>
        <w:t xml:space="preserve">  </w:t>
      </w:r>
      <w:r w:rsidR="00EB1625" w:rsidRPr="00EE2892">
        <w:rPr>
          <w:rFonts w:cstheme="minorHAnsi"/>
          <w:i/>
          <w:iCs/>
          <w:color w:val="000000"/>
          <w:lang w:eastAsia="sk-SK"/>
        </w:rPr>
        <w:t xml:space="preserve">Jednotkové ceny </w:t>
      </w:r>
      <w:r w:rsidRPr="00EE2892">
        <w:rPr>
          <w:rFonts w:cstheme="minorHAnsi"/>
          <w:i/>
          <w:iCs/>
          <w:color w:val="000000"/>
          <w:lang w:eastAsia="sk-SK"/>
        </w:rPr>
        <w:t>upraven</w:t>
      </w:r>
      <w:r w:rsidR="00EB1625" w:rsidRPr="00EE2892">
        <w:rPr>
          <w:rFonts w:cstheme="minorHAnsi"/>
          <w:i/>
          <w:iCs/>
          <w:color w:val="000000"/>
          <w:lang w:eastAsia="sk-SK"/>
        </w:rPr>
        <w:t>é</w:t>
      </w:r>
      <w:r w:rsidR="00752E6E" w:rsidRPr="00EE2892">
        <w:rPr>
          <w:rFonts w:cstheme="minorHAnsi"/>
          <w:i/>
          <w:iCs/>
          <w:color w:val="000000"/>
          <w:lang w:eastAsia="sk-SK"/>
        </w:rPr>
        <w:t xml:space="preserve"> </w:t>
      </w:r>
      <w:r w:rsidRPr="00EE2892">
        <w:rPr>
          <w:rFonts w:cstheme="minorHAnsi"/>
          <w:i/>
          <w:iCs/>
          <w:color w:val="000000"/>
          <w:lang w:eastAsia="sk-SK"/>
        </w:rPr>
        <w:t>podľa trhových cien v roku 2019</w:t>
      </w:r>
      <w:r w:rsidR="00EB1625" w:rsidRPr="00EE2892">
        <w:rPr>
          <w:rFonts w:cstheme="minorHAnsi"/>
          <w:i/>
          <w:iCs/>
          <w:color w:val="000000"/>
          <w:lang w:eastAsia="sk-SK"/>
        </w:rPr>
        <w:t xml:space="preserve"> pre dve úrovne TOB</w:t>
      </w:r>
    </w:p>
    <w:tbl>
      <w:tblPr>
        <w:tblW w:w="9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5"/>
        <w:gridCol w:w="2551"/>
        <w:gridCol w:w="1676"/>
      </w:tblGrid>
      <w:tr w:rsidR="00EB1625" w:rsidRPr="0060033C" w14:paraId="46EF31BD" w14:textId="77777777" w:rsidTr="00EB1625">
        <w:trPr>
          <w:trHeight w:val="240"/>
        </w:trPr>
        <w:tc>
          <w:tcPr>
            <w:tcW w:w="4815"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B02C43E" w14:textId="1CC2E266" w:rsidR="00EB1625" w:rsidRPr="00EB1625" w:rsidRDefault="00752E6E" w:rsidP="00EB1625">
            <w:pPr>
              <w:spacing w:before="60" w:after="60"/>
              <w:rPr>
                <w:rFonts w:cstheme="minorHAnsi"/>
                <w:color w:val="000000"/>
                <w:lang w:eastAsia="sk-SK"/>
              </w:rPr>
            </w:pPr>
            <w:r>
              <w:rPr>
                <w:rFonts w:cstheme="minorHAnsi"/>
                <w:color w:val="222222"/>
                <w:lang w:eastAsia="sk-SK"/>
              </w:rPr>
              <w:t>Konštrukcia</w:t>
            </w:r>
          </w:p>
        </w:tc>
        <w:tc>
          <w:tcPr>
            <w:tcW w:w="25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42F3F1D" w14:textId="1C69EE7C" w:rsidR="00EB1625" w:rsidRPr="00EB1625" w:rsidRDefault="00EB1625" w:rsidP="00EB1625">
            <w:pPr>
              <w:spacing w:before="60" w:after="60"/>
              <w:jc w:val="center"/>
              <w:rPr>
                <w:rFonts w:cstheme="minorHAnsi"/>
                <w:color w:val="000000"/>
                <w:lang w:eastAsia="sk-SK"/>
              </w:rPr>
            </w:pPr>
            <w:r w:rsidRPr="00EB1625">
              <w:rPr>
                <w:rFonts w:ascii="Calibri" w:eastAsia="Times New Roman" w:hAnsi="Calibri" w:cs="Times New Roman"/>
                <w:color w:val="000000"/>
                <w:lang w:eastAsia="sk-SK"/>
              </w:rPr>
              <w:t>RD_O1, RD_O2</w:t>
            </w:r>
          </w:p>
        </w:tc>
        <w:tc>
          <w:tcPr>
            <w:tcW w:w="1676" w:type="dxa"/>
            <w:tcBorders>
              <w:top w:val="single" w:sz="12" w:space="0" w:color="auto"/>
              <w:bottom w:val="single" w:sz="12" w:space="0" w:color="auto"/>
              <w:right w:val="single" w:sz="12" w:space="0" w:color="auto"/>
            </w:tcBorders>
            <w:vAlign w:val="center"/>
          </w:tcPr>
          <w:p w14:paraId="4395050A" w14:textId="4353B424" w:rsidR="00EB1625" w:rsidRPr="00EB1625" w:rsidRDefault="00EB1625" w:rsidP="00EB1625">
            <w:pPr>
              <w:spacing w:before="60" w:after="60"/>
              <w:jc w:val="center"/>
              <w:rPr>
                <w:rFonts w:cstheme="minorHAnsi"/>
                <w:color w:val="000000"/>
                <w:lang w:eastAsia="sk-SK"/>
              </w:rPr>
            </w:pPr>
            <w:r w:rsidRPr="00EB1625">
              <w:rPr>
                <w:rFonts w:ascii="Calibri" w:eastAsia="Times New Roman" w:hAnsi="Calibri" w:cs="Times New Roman"/>
                <w:color w:val="000000"/>
                <w:lang w:eastAsia="sk-SK"/>
              </w:rPr>
              <w:t>RD_O3</w:t>
            </w:r>
          </w:p>
        </w:tc>
      </w:tr>
      <w:tr w:rsidR="00254997" w:rsidRPr="0060033C" w14:paraId="2A3E455A" w14:textId="77777777" w:rsidTr="00EB1625">
        <w:trPr>
          <w:trHeight w:val="240"/>
        </w:trPr>
        <w:tc>
          <w:tcPr>
            <w:tcW w:w="4815" w:type="dxa"/>
            <w:tcBorders>
              <w:top w:val="single" w:sz="12" w:space="0" w:color="auto"/>
              <w:left w:val="single" w:sz="12" w:space="0" w:color="auto"/>
              <w:right w:val="single" w:sz="12" w:space="0" w:color="auto"/>
            </w:tcBorders>
            <w:shd w:val="clear" w:color="auto" w:fill="auto"/>
            <w:noWrap/>
            <w:vAlign w:val="bottom"/>
            <w:hideMark/>
          </w:tcPr>
          <w:p w14:paraId="61540915" w14:textId="0D1673AC" w:rsidR="00254997" w:rsidRPr="00EB1625" w:rsidRDefault="00EB1625" w:rsidP="00EB1625">
            <w:pPr>
              <w:spacing w:before="60" w:after="60"/>
              <w:rPr>
                <w:rFonts w:cstheme="minorHAnsi"/>
                <w:color w:val="000000"/>
                <w:lang w:eastAsia="sk-SK"/>
              </w:rPr>
            </w:pPr>
            <w:r w:rsidRPr="00EB1625">
              <w:rPr>
                <w:rFonts w:cstheme="minorHAnsi"/>
                <w:color w:val="222222"/>
                <w:lang w:eastAsia="sk-SK"/>
              </w:rPr>
              <w:t xml:space="preserve"> Obvodový plášť (ETICS)</w:t>
            </w:r>
          </w:p>
        </w:tc>
        <w:tc>
          <w:tcPr>
            <w:tcW w:w="2551" w:type="dxa"/>
            <w:tcBorders>
              <w:top w:val="single" w:sz="12" w:space="0" w:color="auto"/>
              <w:left w:val="single" w:sz="12" w:space="0" w:color="auto"/>
              <w:right w:val="single" w:sz="12" w:space="0" w:color="auto"/>
            </w:tcBorders>
            <w:shd w:val="clear" w:color="auto" w:fill="auto"/>
            <w:noWrap/>
            <w:vAlign w:val="bottom"/>
          </w:tcPr>
          <w:p w14:paraId="6FED5A45" w14:textId="5FD6B56E" w:rsidR="00254997" w:rsidRPr="00EB1625" w:rsidRDefault="00EB1625" w:rsidP="00EB1625">
            <w:pPr>
              <w:spacing w:before="60" w:after="60"/>
              <w:jc w:val="center"/>
              <w:rPr>
                <w:rFonts w:cstheme="minorHAnsi"/>
                <w:color w:val="000000"/>
                <w:lang w:eastAsia="sk-SK"/>
              </w:rPr>
            </w:pPr>
            <w:r w:rsidRPr="00EB1625">
              <w:rPr>
                <w:rFonts w:cstheme="minorHAnsi"/>
                <w:color w:val="222222"/>
                <w:lang w:eastAsia="sk-SK"/>
              </w:rPr>
              <w:t>50 € / m</w:t>
            </w:r>
            <w:r w:rsidRPr="00EB1625">
              <w:rPr>
                <w:rFonts w:cstheme="minorHAnsi"/>
                <w:color w:val="222222"/>
                <w:vertAlign w:val="superscript"/>
                <w:lang w:eastAsia="sk-SK"/>
              </w:rPr>
              <w:t>2</w:t>
            </w:r>
          </w:p>
        </w:tc>
        <w:tc>
          <w:tcPr>
            <w:tcW w:w="1676" w:type="dxa"/>
            <w:tcBorders>
              <w:top w:val="single" w:sz="12" w:space="0" w:color="auto"/>
              <w:right w:val="single" w:sz="12" w:space="0" w:color="auto"/>
            </w:tcBorders>
          </w:tcPr>
          <w:p w14:paraId="7FACFBA1" w14:textId="4B74B136" w:rsidR="00254997" w:rsidRPr="00EB1625" w:rsidRDefault="00EB1625" w:rsidP="00EB1625">
            <w:pPr>
              <w:spacing w:before="60" w:after="60"/>
              <w:jc w:val="center"/>
              <w:rPr>
                <w:rFonts w:cstheme="minorHAnsi"/>
                <w:color w:val="000000"/>
                <w:lang w:eastAsia="sk-SK"/>
              </w:rPr>
            </w:pPr>
            <w:r w:rsidRPr="00EB1625">
              <w:rPr>
                <w:rFonts w:cstheme="minorHAnsi"/>
                <w:color w:val="222222"/>
                <w:lang w:eastAsia="sk-SK"/>
              </w:rPr>
              <w:t>55 € / m</w:t>
            </w:r>
            <w:r w:rsidRPr="00EB1625">
              <w:rPr>
                <w:rFonts w:cstheme="minorHAnsi"/>
                <w:color w:val="222222"/>
                <w:vertAlign w:val="superscript"/>
                <w:lang w:eastAsia="sk-SK"/>
              </w:rPr>
              <w:t>2</w:t>
            </w:r>
          </w:p>
        </w:tc>
      </w:tr>
      <w:tr w:rsidR="00254997" w:rsidRPr="0060033C" w14:paraId="067BCC90" w14:textId="77777777" w:rsidTr="00EB1625">
        <w:trPr>
          <w:trHeight w:val="240"/>
        </w:trPr>
        <w:tc>
          <w:tcPr>
            <w:tcW w:w="4815" w:type="dxa"/>
            <w:tcBorders>
              <w:left w:val="single" w:sz="12" w:space="0" w:color="auto"/>
              <w:right w:val="single" w:sz="12" w:space="0" w:color="auto"/>
            </w:tcBorders>
            <w:shd w:val="clear" w:color="auto" w:fill="auto"/>
            <w:noWrap/>
            <w:vAlign w:val="bottom"/>
          </w:tcPr>
          <w:p w14:paraId="31F75CE5" w14:textId="31F1CAE5" w:rsidR="00254997" w:rsidRPr="00EB1625" w:rsidRDefault="00EB1625" w:rsidP="00EB1625">
            <w:pPr>
              <w:spacing w:before="60" w:after="60"/>
              <w:rPr>
                <w:rFonts w:cstheme="minorHAnsi"/>
                <w:color w:val="000000"/>
                <w:lang w:eastAsia="sk-SK"/>
              </w:rPr>
            </w:pPr>
            <w:r w:rsidRPr="00EB1625">
              <w:rPr>
                <w:rFonts w:cstheme="minorHAnsi"/>
                <w:color w:val="000000"/>
                <w:lang w:eastAsia="sk-SK"/>
              </w:rPr>
              <w:t>Strop pod nevykurovaným podkrovím</w:t>
            </w:r>
          </w:p>
        </w:tc>
        <w:tc>
          <w:tcPr>
            <w:tcW w:w="2551" w:type="dxa"/>
            <w:tcBorders>
              <w:left w:val="single" w:sz="12" w:space="0" w:color="auto"/>
              <w:right w:val="single" w:sz="12" w:space="0" w:color="auto"/>
            </w:tcBorders>
            <w:shd w:val="clear" w:color="auto" w:fill="auto"/>
            <w:noWrap/>
            <w:vAlign w:val="bottom"/>
          </w:tcPr>
          <w:p w14:paraId="79B396CD" w14:textId="2F1012CA" w:rsidR="00254997" w:rsidRPr="00EB1625" w:rsidRDefault="00EB1625" w:rsidP="00EB1625">
            <w:pPr>
              <w:spacing w:before="60" w:after="60"/>
              <w:jc w:val="center"/>
              <w:rPr>
                <w:rFonts w:cstheme="minorHAnsi"/>
                <w:color w:val="000000"/>
                <w:lang w:eastAsia="sk-SK"/>
              </w:rPr>
            </w:pPr>
            <w:r w:rsidRPr="00EB1625">
              <w:rPr>
                <w:rFonts w:cstheme="minorHAnsi"/>
                <w:color w:val="000000"/>
                <w:lang w:eastAsia="sk-SK"/>
              </w:rPr>
              <w:t xml:space="preserve">30 </w:t>
            </w:r>
            <w:r w:rsidRPr="00EB1625">
              <w:rPr>
                <w:rFonts w:cstheme="minorHAnsi"/>
                <w:color w:val="222222"/>
                <w:lang w:eastAsia="sk-SK"/>
              </w:rPr>
              <w:t>€ / m</w:t>
            </w:r>
            <w:r w:rsidRPr="00EB1625">
              <w:rPr>
                <w:rFonts w:cstheme="minorHAnsi"/>
                <w:color w:val="222222"/>
                <w:vertAlign w:val="superscript"/>
                <w:lang w:eastAsia="sk-SK"/>
              </w:rPr>
              <w:t>2</w:t>
            </w:r>
          </w:p>
        </w:tc>
        <w:tc>
          <w:tcPr>
            <w:tcW w:w="1676" w:type="dxa"/>
            <w:tcBorders>
              <w:right w:val="single" w:sz="12" w:space="0" w:color="auto"/>
            </w:tcBorders>
          </w:tcPr>
          <w:p w14:paraId="79AD3FF6" w14:textId="1F899E26" w:rsidR="00254997" w:rsidRPr="00EB1625" w:rsidRDefault="00EB1625" w:rsidP="00EB1625">
            <w:pPr>
              <w:spacing w:before="60" w:after="60"/>
              <w:jc w:val="center"/>
              <w:rPr>
                <w:rFonts w:cstheme="minorHAnsi"/>
                <w:color w:val="000000"/>
                <w:lang w:eastAsia="sk-SK"/>
              </w:rPr>
            </w:pPr>
            <w:r w:rsidRPr="00EB1625">
              <w:rPr>
                <w:rFonts w:cstheme="minorHAnsi"/>
                <w:color w:val="000000"/>
                <w:lang w:eastAsia="sk-SK"/>
              </w:rPr>
              <w:t xml:space="preserve">33 </w:t>
            </w:r>
            <w:r w:rsidRPr="00EB1625">
              <w:rPr>
                <w:rFonts w:cstheme="minorHAnsi"/>
                <w:color w:val="222222"/>
                <w:lang w:eastAsia="sk-SK"/>
              </w:rPr>
              <w:t>€ / m</w:t>
            </w:r>
            <w:r w:rsidRPr="00EB1625">
              <w:rPr>
                <w:rFonts w:cstheme="minorHAnsi"/>
                <w:color w:val="222222"/>
                <w:vertAlign w:val="superscript"/>
                <w:lang w:eastAsia="sk-SK"/>
              </w:rPr>
              <w:t>2</w:t>
            </w:r>
          </w:p>
        </w:tc>
      </w:tr>
      <w:tr w:rsidR="00254997" w:rsidRPr="0060033C" w14:paraId="68EA2F22" w14:textId="77777777" w:rsidTr="00EB1625">
        <w:trPr>
          <w:trHeight w:val="240"/>
        </w:trPr>
        <w:tc>
          <w:tcPr>
            <w:tcW w:w="4815" w:type="dxa"/>
            <w:tcBorders>
              <w:left w:val="single" w:sz="12" w:space="0" w:color="auto"/>
              <w:bottom w:val="single" w:sz="12" w:space="0" w:color="auto"/>
              <w:right w:val="single" w:sz="12" w:space="0" w:color="auto"/>
            </w:tcBorders>
            <w:shd w:val="clear" w:color="auto" w:fill="auto"/>
            <w:noWrap/>
            <w:vAlign w:val="bottom"/>
          </w:tcPr>
          <w:p w14:paraId="56635E18" w14:textId="469F957E" w:rsidR="00254997" w:rsidRPr="00EB1625" w:rsidRDefault="00EB1625" w:rsidP="00EB1625">
            <w:pPr>
              <w:spacing w:before="60" w:after="60"/>
              <w:rPr>
                <w:rFonts w:cstheme="minorHAnsi"/>
                <w:color w:val="000000"/>
                <w:lang w:eastAsia="sk-SK"/>
              </w:rPr>
            </w:pPr>
            <w:r w:rsidRPr="00EB1625">
              <w:rPr>
                <w:rFonts w:cstheme="minorHAnsi"/>
                <w:color w:val="000000"/>
                <w:lang w:eastAsia="sk-SK"/>
              </w:rPr>
              <w:t xml:space="preserve">Výplňové konštrukcie </w:t>
            </w:r>
          </w:p>
        </w:tc>
        <w:tc>
          <w:tcPr>
            <w:tcW w:w="2551" w:type="dxa"/>
            <w:tcBorders>
              <w:left w:val="single" w:sz="12" w:space="0" w:color="auto"/>
              <w:bottom w:val="single" w:sz="12" w:space="0" w:color="auto"/>
              <w:right w:val="single" w:sz="12" w:space="0" w:color="auto"/>
            </w:tcBorders>
            <w:shd w:val="clear" w:color="auto" w:fill="auto"/>
            <w:noWrap/>
            <w:vAlign w:val="bottom"/>
          </w:tcPr>
          <w:p w14:paraId="3D1D97E2" w14:textId="6C34E6C8" w:rsidR="00254997" w:rsidRPr="00EB1625" w:rsidRDefault="00EB1625" w:rsidP="00EB1625">
            <w:pPr>
              <w:spacing w:before="60" w:after="60"/>
              <w:jc w:val="center"/>
              <w:rPr>
                <w:rFonts w:cstheme="minorHAnsi"/>
                <w:color w:val="000000"/>
                <w:lang w:eastAsia="sk-SK"/>
              </w:rPr>
            </w:pPr>
            <w:r w:rsidRPr="00EB1625">
              <w:rPr>
                <w:rFonts w:cstheme="minorHAnsi"/>
                <w:color w:val="000000"/>
                <w:lang w:eastAsia="sk-SK"/>
              </w:rPr>
              <w:t xml:space="preserve">165 </w:t>
            </w:r>
            <w:r w:rsidRPr="00EB1625">
              <w:rPr>
                <w:rFonts w:cstheme="minorHAnsi"/>
                <w:color w:val="222222"/>
                <w:lang w:eastAsia="sk-SK"/>
              </w:rPr>
              <w:t>€ / m</w:t>
            </w:r>
            <w:r w:rsidRPr="00EB1625">
              <w:rPr>
                <w:rFonts w:cstheme="minorHAnsi"/>
                <w:color w:val="222222"/>
                <w:vertAlign w:val="superscript"/>
                <w:lang w:eastAsia="sk-SK"/>
              </w:rPr>
              <w:t>2</w:t>
            </w:r>
          </w:p>
        </w:tc>
        <w:tc>
          <w:tcPr>
            <w:tcW w:w="1676" w:type="dxa"/>
            <w:tcBorders>
              <w:bottom w:val="single" w:sz="12" w:space="0" w:color="auto"/>
              <w:right w:val="single" w:sz="12" w:space="0" w:color="auto"/>
            </w:tcBorders>
          </w:tcPr>
          <w:p w14:paraId="335898C9" w14:textId="7424E361" w:rsidR="00254997" w:rsidRPr="00EB1625" w:rsidRDefault="00EB1625" w:rsidP="00EB1625">
            <w:pPr>
              <w:spacing w:before="60" w:after="60"/>
              <w:jc w:val="center"/>
              <w:rPr>
                <w:rFonts w:cstheme="minorHAnsi"/>
                <w:color w:val="000000"/>
                <w:lang w:eastAsia="sk-SK"/>
              </w:rPr>
            </w:pPr>
            <w:r w:rsidRPr="00EB1625">
              <w:rPr>
                <w:rFonts w:cstheme="minorHAnsi"/>
                <w:color w:val="000000"/>
                <w:lang w:eastAsia="sk-SK"/>
              </w:rPr>
              <w:t xml:space="preserve">230 </w:t>
            </w:r>
            <w:r w:rsidRPr="00EB1625">
              <w:rPr>
                <w:rFonts w:cstheme="minorHAnsi"/>
                <w:color w:val="222222"/>
                <w:lang w:eastAsia="sk-SK"/>
              </w:rPr>
              <w:t>€ / m</w:t>
            </w:r>
            <w:r w:rsidRPr="00EB1625">
              <w:rPr>
                <w:rFonts w:cstheme="minorHAnsi"/>
                <w:color w:val="222222"/>
                <w:vertAlign w:val="superscript"/>
                <w:lang w:eastAsia="sk-SK"/>
              </w:rPr>
              <w:t>2</w:t>
            </w:r>
          </w:p>
        </w:tc>
      </w:tr>
    </w:tbl>
    <w:p w14:paraId="2264DB63" w14:textId="77777777" w:rsidR="00254997" w:rsidRPr="0060033C" w:rsidRDefault="00254997" w:rsidP="00254997">
      <w:pPr>
        <w:spacing w:after="120" w:line="276" w:lineRule="auto"/>
        <w:jc w:val="both"/>
        <w:rPr>
          <w:rFonts w:cstheme="minorHAnsi"/>
          <w:color w:val="222222"/>
          <w:highlight w:val="yellow"/>
          <w:lang w:eastAsia="sk-SK"/>
        </w:rPr>
      </w:pPr>
    </w:p>
    <w:p w14:paraId="6D0A9D6E" w14:textId="5B92112A" w:rsidR="00254997" w:rsidRDefault="00752E6E" w:rsidP="00752E6E">
      <w:pPr>
        <w:spacing w:after="120" w:line="276" w:lineRule="auto"/>
        <w:jc w:val="both"/>
        <w:rPr>
          <w:rFonts w:cstheme="minorHAnsi"/>
        </w:rPr>
      </w:pPr>
      <w:r w:rsidRPr="00752E6E">
        <w:rPr>
          <w:rFonts w:cstheme="minorHAnsi"/>
          <w:color w:val="222222"/>
          <w:lang w:eastAsia="sk-SK"/>
        </w:rPr>
        <w:t>Pri uvažovaní o nákladoch spojených s rôznou úrovňou obnovy(zateplením) fasády je nutné brať na vedomie, že</w:t>
      </w:r>
      <w:r w:rsidR="00254997" w:rsidRPr="00752E6E">
        <w:rPr>
          <w:rFonts w:cstheme="minorHAnsi"/>
        </w:rPr>
        <w:t xml:space="preserve"> rozdiel v cene zahŕňa len izolačný systém. V každom prípade </w:t>
      </w:r>
      <w:r w:rsidRPr="00752E6E">
        <w:rPr>
          <w:rFonts w:cstheme="minorHAnsi"/>
        </w:rPr>
        <w:t>náklady zahŕňajú</w:t>
      </w:r>
      <w:r w:rsidR="00254997" w:rsidRPr="00752E6E">
        <w:rPr>
          <w:rFonts w:cstheme="minorHAnsi"/>
        </w:rPr>
        <w:t xml:space="preserve"> približne </w:t>
      </w:r>
      <w:r w:rsidRPr="00752E6E">
        <w:rPr>
          <w:rFonts w:cstheme="minorHAnsi"/>
        </w:rPr>
        <w:t>rovnakú sumu</w:t>
      </w:r>
      <w:r w:rsidR="00254997" w:rsidRPr="00752E6E">
        <w:rPr>
          <w:rFonts w:cstheme="minorHAnsi"/>
        </w:rPr>
        <w:t xml:space="preserve"> za prácu, lešenie či omietkové materiály.</w:t>
      </w:r>
      <w:r>
        <w:rPr>
          <w:rFonts w:cstheme="minorHAnsi"/>
        </w:rPr>
        <w:t xml:space="preserve"> Rozdielna hrúbka použitého izolantu teda automaticky neznamená priamu úmeru v nákladoch na obnovu fasády. </w:t>
      </w:r>
    </w:p>
    <w:p w14:paraId="0DA96535" w14:textId="77777777" w:rsidR="0089006B" w:rsidRPr="00752E6E" w:rsidRDefault="0089006B" w:rsidP="00752E6E">
      <w:pPr>
        <w:spacing w:after="120" w:line="276" w:lineRule="auto"/>
        <w:jc w:val="both"/>
        <w:rPr>
          <w:rFonts w:cstheme="minorHAnsi"/>
        </w:rPr>
      </w:pPr>
    </w:p>
    <w:p w14:paraId="069C0C96" w14:textId="1ED16DD2" w:rsidR="00391A78" w:rsidRPr="0011637D" w:rsidRDefault="006979E8" w:rsidP="0011637D">
      <w:pPr>
        <w:spacing w:before="120" w:after="120"/>
        <w:jc w:val="both"/>
      </w:pPr>
      <w:r>
        <w:lastRenderedPageBreak/>
        <w:t>Tabuľky č. 24 - 26</w:t>
      </w:r>
      <w:r w:rsidR="0011637D">
        <w:t xml:space="preserve"> popisuj</w:t>
      </w:r>
      <w:r>
        <w:t>ú</w:t>
      </w:r>
      <w:r w:rsidR="0011637D">
        <w:t xml:space="preserve"> náklady na nový zdroj tepla, ktorý je uvažovaný v troch úrovniach obnovy</w:t>
      </w:r>
      <w:r>
        <w:t xml:space="preserve"> a pre tri veľkosti (geometriu) referenčných rodinných domov</w:t>
      </w:r>
      <w:r w:rsidR="0011637D">
        <w:t>.</w:t>
      </w:r>
      <w:r w:rsidR="0089006B">
        <w:t xml:space="preserve"> </w:t>
      </w:r>
      <w:r w:rsidR="0011637D">
        <w:t xml:space="preserve">Z dôvodu predpokladu rozdielnych celkových tepelných strát v úrovni O2 a O3 je uvažované </w:t>
      </w:r>
      <w:r w:rsidR="00E320AA">
        <w:t>s</w:t>
      </w:r>
      <w:r w:rsidR="0011637D">
        <w:t> rozdielnym výkonom tepelných čerpadiel</w:t>
      </w:r>
      <w:r w:rsidR="0089006B">
        <w:t xml:space="preserve"> a rovnako tak z dôvodu rozdielnych tepelných strán v rôznych veľkostiach rodinných domov</w:t>
      </w:r>
      <w:r w:rsidR="0011637D">
        <w:t xml:space="preserve">. </w:t>
      </w:r>
    </w:p>
    <w:p w14:paraId="5CDA1134" w14:textId="0067C96C" w:rsidR="0011637D" w:rsidRPr="00EE2892" w:rsidRDefault="0011637D" w:rsidP="0011637D">
      <w:pPr>
        <w:spacing w:before="120" w:after="120" w:line="276" w:lineRule="auto"/>
        <w:rPr>
          <w:i/>
          <w:iCs/>
        </w:rPr>
      </w:pPr>
      <w:r w:rsidRPr="00EE2892">
        <w:rPr>
          <w:rFonts w:cstheme="minorHAnsi"/>
          <w:i/>
          <w:iCs/>
        </w:rPr>
        <w:t xml:space="preserve">Tab. </w:t>
      </w:r>
      <w:r w:rsidR="00EE2892" w:rsidRPr="00EE2892">
        <w:rPr>
          <w:rFonts w:cstheme="minorHAnsi"/>
          <w:i/>
          <w:iCs/>
        </w:rPr>
        <w:t>2</w:t>
      </w:r>
      <w:r w:rsidR="009D46B3">
        <w:rPr>
          <w:rFonts w:cstheme="minorHAnsi"/>
          <w:i/>
          <w:iCs/>
        </w:rPr>
        <w:t>5</w:t>
      </w:r>
      <w:r w:rsidRPr="00EE2892">
        <w:rPr>
          <w:rFonts w:cstheme="minorHAnsi"/>
          <w:i/>
          <w:iCs/>
        </w:rPr>
        <w:t xml:space="preserve">:  </w:t>
      </w:r>
      <w:r w:rsidRPr="00EE2892">
        <w:rPr>
          <w:rFonts w:cstheme="minorHAnsi"/>
          <w:i/>
          <w:iCs/>
          <w:color w:val="000000"/>
          <w:lang w:eastAsia="sk-SK"/>
        </w:rPr>
        <w:t>Náklady na výmenu zdroja energie</w:t>
      </w:r>
      <w:r w:rsidR="0089006B">
        <w:rPr>
          <w:rFonts w:cstheme="minorHAnsi"/>
          <w:i/>
          <w:iCs/>
          <w:color w:val="000000"/>
          <w:lang w:eastAsia="sk-SK"/>
        </w:rPr>
        <w:t xml:space="preserve"> pri malom rodinnom dome (RD_M)</w:t>
      </w:r>
    </w:p>
    <w:tbl>
      <w:tblPr>
        <w:tblW w:w="9057" w:type="dxa"/>
        <w:tblCellMar>
          <w:left w:w="70" w:type="dxa"/>
          <w:right w:w="70" w:type="dxa"/>
        </w:tblCellMar>
        <w:tblLook w:val="04A0" w:firstRow="1" w:lastRow="0" w:firstColumn="1" w:lastColumn="0" w:noHBand="0" w:noVBand="1"/>
      </w:tblPr>
      <w:tblGrid>
        <w:gridCol w:w="2253"/>
        <w:gridCol w:w="1843"/>
        <w:gridCol w:w="2552"/>
        <w:gridCol w:w="2409"/>
      </w:tblGrid>
      <w:tr w:rsidR="0011637D" w:rsidRPr="00752E6E" w14:paraId="68B16792" w14:textId="77777777" w:rsidTr="0011637D">
        <w:trPr>
          <w:trHeight w:val="765"/>
        </w:trPr>
        <w:tc>
          <w:tcPr>
            <w:tcW w:w="225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F69F45" w14:textId="77777777" w:rsidR="0011637D" w:rsidRPr="002B49A0" w:rsidRDefault="0011637D" w:rsidP="0011637D">
            <w:pPr>
              <w:spacing w:after="0" w:line="240" w:lineRule="auto"/>
              <w:rPr>
                <w:rFonts w:ascii="Calibri" w:eastAsia="Times New Roman" w:hAnsi="Calibri" w:cs="Calibri"/>
                <w:b/>
                <w:bCs/>
                <w:sz w:val="20"/>
                <w:szCs w:val="20"/>
                <w:lang w:eastAsia="sk-SK"/>
              </w:rPr>
            </w:pPr>
            <w:r w:rsidRPr="002B49A0">
              <w:rPr>
                <w:rFonts w:ascii="Calibri" w:eastAsia="Times New Roman" w:hAnsi="Calibri" w:cs="Calibri"/>
                <w:b/>
                <w:bCs/>
                <w:sz w:val="20"/>
                <w:szCs w:val="20"/>
                <w:lang w:eastAsia="sk-SK"/>
              </w:rPr>
              <w:t>Zdroj</w:t>
            </w:r>
          </w:p>
        </w:tc>
        <w:tc>
          <w:tcPr>
            <w:tcW w:w="184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7746028" w14:textId="5F1411E0" w:rsidR="0011637D" w:rsidRPr="002B49A0" w:rsidRDefault="0011637D" w:rsidP="0011637D">
            <w:pPr>
              <w:jc w:val="center"/>
              <w:rPr>
                <w:b/>
                <w:bCs/>
                <w:sz w:val="20"/>
                <w:szCs w:val="20"/>
              </w:rPr>
            </w:pPr>
            <w:r w:rsidRPr="002B49A0">
              <w:rPr>
                <w:b/>
                <w:bCs/>
                <w:sz w:val="20"/>
                <w:szCs w:val="20"/>
              </w:rPr>
              <w:t>Kotol na drevené pelety</w:t>
            </w:r>
          </w:p>
          <w:p w14:paraId="0A48DF61" w14:textId="15E3CBF4" w:rsidR="0011637D" w:rsidRPr="002B49A0" w:rsidRDefault="0011637D" w:rsidP="0011637D">
            <w:pPr>
              <w:jc w:val="center"/>
              <w:rPr>
                <w:b/>
                <w:bCs/>
                <w:sz w:val="20"/>
                <w:szCs w:val="20"/>
              </w:rPr>
            </w:pPr>
            <w:r w:rsidRPr="002B49A0">
              <w:rPr>
                <w:b/>
                <w:bCs/>
                <w:sz w:val="20"/>
                <w:szCs w:val="20"/>
              </w:rPr>
              <w:t>RD_O1</w:t>
            </w:r>
          </w:p>
        </w:tc>
        <w:tc>
          <w:tcPr>
            <w:tcW w:w="2552" w:type="dxa"/>
            <w:tcBorders>
              <w:top w:val="single" w:sz="12" w:space="0" w:color="auto"/>
              <w:left w:val="nil"/>
              <w:bottom w:val="single" w:sz="12" w:space="0" w:color="auto"/>
              <w:right w:val="single" w:sz="4" w:space="0" w:color="auto"/>
            </w:tcBorders>
            <w:vAlign w:val="center"/>
          </w:tcPr>
          <w:p w14:paraId="2971A7E2" w14:textId="786D919B" w:rsidR="0011637D" w:rsidRPr="002B49A0" w:rsidRDefault="0011637D" w:rsidP="0011637D">
            <w:pPr>
              <w:jc w:val="center"/>
              <w:rPr>
                <w:b/>
                <w:bCs/>
                <w:sz w:val="20"/>
                <w:szCs w:val="20"/>
              </w:rPr>
            </w:pPr>
            <w:r w:rsidRPr="002B49A0">
              <w:rPr>
                <w:b/>
                <w:bCs/>
                <w:sz w:val="20"/>
                <w:szCs w:val="20"/>
              </w:rPr>
              <w:t>TČ - vzduch/voda (</w:t>
            </w:r>
            <w:r w:rsidR="0089006B" w:rsidRPr="002B49A0">
              <w:rPr>
                <w:b/>
                <w:bCs/>
                <w:sz w:val="20"/>
                <w:szCs w:val="20"/>
              </w:rPr>
              <w:t>6</w:t>
            </w:r>
            <w:r w:rsidRPr="002B49A0">
              <w:rPr>
                <w:b/>
                <w:bCs/>
                <w:sz w:val="20"/>
                <w:szCs w:val="20"/>
              </w:rPr>
              <w:t xml:space="preserve"> kW)</w:t>
            </w:r>
          </w:p>
          <w:p w14:paraId="4A544733" w14:textId="3BAEE3ED" w:rsidR="0011637D" w:rsidRPr="002B49A0" w:rsidRDefault="0011637D" w:rsidP="0011637D">
            <w:pPr>
              <w:jc w:val="center"/>
              <w:rPr>
                <w:b/>
                <w:bCs/>
                <w:sz w:val="20"/>
                <w:szCs w:val="20"/>
              </w:rPr>
            </w:pPr>
            <w:r w:rsidRPr="002B49A0">
              <w:rPr>
                <w:b/>
                <w:bCs/>
                <w:sz w:val="20"/>
                <w:szCs w:val="20"/>
              </w:rPr>
              <w:t>RD_O2</w:t>
            </w:r>
          </w:p>
        </w:tc>
        <w:tc>
          <w:tcPr>
            <w:tcW w:w="240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2727720F" w14:textId="76CBB76C" w:rsidR="0011637D" w:rsidRPr="002B49A0" w:rsidRDefault="0011637D" w:rsidP="0011637D">
            <w:pPr>
              <w:jc w:val="center"/>
              <w:rPr>
                <w:b/>
                <w:bCs/>
                <w:sz w:val="20"/>
                <w:szCs w:val="20"/>
              </w:rPr>
            </w:pPr>
            <w:r w:rsidRPr="002B49A0">
              <w:rPr>
                <w:b/>
                <w:bCs/>
                <w:sz w:val="20"/>
                <w:szCs w:val="20"/>
              </w:rPr>
              <w:t>TČ - vzduch/voda (</w:t>
            </w:r>
            <w:r w:rsidR="0089006B" w:rsidRPr="002B49A0">
              <w:rPr>
                <w:b/>
                <w:bCs/>
                <w:sz w:val="20"/>
                <w:szCs w:val="20"/>
              </w:rPr>
              <w:t>4</w:t>
            </w:r>
            <w:r w:rsidRPr="002B49A0">
              <w:rPr>
                <w:b/>
                <w:bCs/>
                <w:sz w:val="20"/>
                <w:szCs w:val="20"/>
              </w:rPr>
              <w:t xml:space="preserve"> kW)</w:t>
            </w:r>
          </w:p>
          <w:p w14:paraId="28AE4064" w14:textId="77F8D681" w:rsidR="0011637D" w:rsidRPr="002B49A0" w:rsidRDefault="0011637D" w:rsidP="0011637D">
            <w:pPr>
              <w:jc w:val="center"/>
              <w:rPr>
                <w:b/>
                <w:bCs/>
                <w:sz w:val="20"/>
                <w:szCs w:val="20"/>
              </w:rPr>
            </w:pPr>
            <w:r w:rsidRPr="002B49A0">
              <w:rPr>
                <w:b/>
                <w:bCs/>
                <w:sz w:val="20"/>
                <w:szCs w:val="20"/>
              </w:rPr>
              <w:t>RD_O3</w:t>
            </w:r>
          </w:p>
        </w:tc>
      </w:tr>
      <w:tr w:rsidR="0011637D" w:rsidRPr="00752E6E" w14:paraId="29C45A06" w14:textId="77777777" w:rsidTr="0011637D">
        <w:trPr>
          <w:trHeight w:val="340"/>
        </w:trPr>
        <w:tc>
          <w:tcPr>
            <w:tcW w:w="225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44652C5" w14:textId="77777777" w:rsidR="0011637D" w:rsidRPr="002B49A0" w:rsidRDefault="0011637D" w:rsidP="0011637D">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Zdroj</w:t>
            </w:r>
          </w:p>
        </w:tc>
        <w:tc>
          <w:tcPr>
            <w:tcW w:w="184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8E2292F" w14:textId="77777777"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3 700 €</w:t>
            </w:r>
          </w:p>
        </w:tc>
        <w:tc>
          <w:tcPr>
            <w:tcW w:w="2552" w:type="dxa"/>
            <w:tcBorders>
              <w:top w:val="single" w:sz="12" w:space="0" w:color="auto"/>
              <w:left w:val="nil"/>
              <w:bottom w:val="single" w:sz="4" w:space="0" w:color="auto"/>
              <w:right w:val="single" w:sz="4" w:space="0" w:color="auto"/>
            </w:tcBorders>
            <w:vAlign w:val="center"/>
          </w:tcPr>
          <w:p w14:paraId="07F4828D" w14:textId="4F54ACC3"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6310 €</w:t>
            </w:r>
          </w:p>
        </w:tc>
        <w:tc>
          <w:tcPr>
            <w:tcW w:w="240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6752ACD7" w14:textId="73EAD03E" w:rsidR="0011637D" w:rsidRPr="002B49A0" w:rsidRDefault="0089006B"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5410</w:t>
            </w:r>
            <w:r w:rsidR="0011637D" w:rsidRPr="002B49A0">
              <w:rPr>
                <w:rFonts w:ascii="Calibri" w:eastAsia="Times New Roman" w:hAnsi="Calibri" w:cs="Calibri"/>
                <w:color w:val="000000"/>
                <w:sz w:val="20"/>
                <w:szCs w:val="20"/>
                <w:lang w:eastAsia="sk-SK"/>
              </w:rPr>
              <w:t xml:space="preserve"> €</w:t>
            </w:r>
          </w:p>
        </w:tc>
      </w:tr>
      <w:tr w:rsidR="0011637D" w:rsidRPr="00752E6E" w14:paraId="798E4753" w14:textId="77777777" w:rsidTr="0011637D">
        <w:trPr>
          <w:trHeight w:val="340"/>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6CBE6E7F" w14:textId="77777777" w:rsidR="0011637D" w:rsidRPr="002B49A0" w:rsidRDefault="0011637D" w:rsidP="0011637D">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Inštalačný materiál</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60A1E191" w14:textId="77777777"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572 €</w:t>
            </w:r>
          </w:p>
        </w:tc>
        <w:tc>
          <w:tcPr>
            <w:tcW w:w="2552" w:type="dxa"/>
            <w:tcBorders>
              <w:top w:val="nil"/>
              <w:left w:val="nil"/>
              <w:bottom w:val="single" w:sz="4" w:space="0" w:color="auto"/>
              <w:right w:val="single" w:sz="4" w:space="0" w:color="auto"/>
            </w:tcBorders>
            <w:vAlign w:val="center"/>
          </w:tcPr>
          <w:p w14:paraId="3D11785F" w14:textId="5A7AE0C4"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1 073 €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3D575304" w14:textId="6632854E"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1 073 €</w:t>
            </w:r>
          </w:p>
        </w:tc>
      </w:tr>
      <w:tr w:rsidR="0011637D" w:rsidRPr="00752E6E" w14:paraId="177B1BB3" w14:textId="77777777" w:rsidTr="0011637D">
        <w:trPr>
          <w:trHeight w:val="340"/>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6253373B" w14:textId="77777777" w:rsidR="0011637D" w:rsidRPr="002B49A0" w:rsidRDefault="0011637D" w:rsidP="0011637D">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Zásobník na TÚV</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2D7ACAD8" w14:textId="77777777"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450 €</w:t>
            </w:r>
          </w:p>
        </w:tc>
        <w:tc>
          <w:tcPr>
            <w:tcW w:w="2552" w:type="dxa"/>
            <w:tcBorders>
              <w:top w:val="nil"/>
              <w:left w:val="nil"/>
              <w:bottom w:val="single" w:sz="4" w:space="0" w:color="auto"/>
              <w:right w:val="single" w:sz="4" w:space="0" w:color="auto"/>
            </w:tcBorders>
            <w:vAlign w:val="center"/>
          </w:tcPr>
          <w:p w14:paraId="59D500BF" w14:textId="370DA3D5"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0 €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5AC49656" w14:textId="5D075700"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0 €</w:t>
            </w:r>
          </w:p>
        </w:tc>
      </w:tr>
      <w:tr w:rsidR="0011637D" w:rsidRPr="00752E6E" w14:paraId="3BF069F6" w14:textId="77777777" w:rsidTr="0011637D">
        <w:trPr>
          <w:trHeight w:val="340"/>
        </w:trPr>
        <w:tc>
          <w:tcPr>
            <w:tcW w:w="2253" w:type="dxa"/>
            <w:tcBorders>
              <w:top w:val="nil"/>
              <w:left w:val="single" w:sz="12" w:space="0" w:color="auto"/>
              <w:bottom w:val="single" w:sz="4" w:space="0" w:color="auto"/>
              <w:right w:val="single" w:sz="12" w:space="0" w:color="auto"/>
            </w:tcBorders>
            <w:shd w:val="clear" w:color="auto" w:fill="auto"/>
            <w:vAlign w:val="center"/>
            <w:hideMark/>
          </w:tcPr>
          <w:p w14:paraId="68E25C65" w14:textId="1344929F" w:rsidR="0011637D" w:rsidRPr="002B49A0" w:rsidRDefault="0011637D" w:rsidP="0011637D">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Uvedenie do prevádzky</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4EFF7BA3" w14:textId="77777777"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c>
          <w:tcPr>
            <w:tcW w:w="2552" w:type="dxa"/>
            <w:tcBorders>
              <w:top w:val="nil"/>
              <w:left w:val="nil"/>
              <w:bottom w:val="single" w:sz="4" w:space="0" w:color="auto"/>
              <w:right w:val="single" w:sz="4" w:space="0" w:color="auto"/>
            </w:tcBorders>
            <w:vAlign w:val="center"/>
          </w:tcPr>
          <w:p w14:paraId="6A3CB908" w14:textId="2152FA0C"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3A36FA1A" w14:textId="37EF180D" w:rsidR="0011637D" w:rsidRPr="002B49A0" w:rsidRDefault="0011637D" w:rsidP="0011637D">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r>
      <w:tr w:rsidR="0011637D" w:rsidRPr="00752E6E" w14:paraId="5877DBF7" w14:textId="77777777" w:rsidTr="0011637D">
        <w:trPr>
          <w:trHeight w:val="406"/>
        </w:trPr>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AADCC76" w14:textId="77777777" w:rsidR="0011637D" w:rsidRPr="002B49A0" w:rsidRDefault="0011637D" w:rsidP="0011637D">
            <w:pPr>
              <w:spacing w:after="0" w:line="240" w:lineRule="auto"/>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SPOLU</w:t>
            </w:r>
          </w:p>
        </w:tc>
        <w:tc>
          <w:tcPr>
            <w:tcW w:w="184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889AAEE" w14:textId="77777777" w:rsidR="0011637D" w:rsidRPr="002B49A0" w:rsidRDefault="0011637D" w:rsidP="0011637D">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4 892 €</w:t>
            </w:r>
          </w:p>
        </w:tc>
        <w:tc>
          <w:tcPr>
            <w:tcW w:w="2552" w:type="dxa"/>
            <w:tcBorders>
              <w:top w:val="single" w:sz="12" w:space="0" w:color="auto"/>
              <w:left w:val="nil"/>
              <w:bottom w:val="single" w:sz="12" w:space="0" w:color="auto"/>
              <w:right w:val="single" w:sz="4" w:space="0" w:color="auto"/>
            </w:tcBorders>
            <w:vAlign w:val="center"/>
          </w:tcPr>
          <w:p w14:paraId="19022AA3" w14:textId="40F72F1C" w:rsidR="0011637D" w:rsidRPr="002B49A0" w:rsidRDefault="0089006B" w:rsidP="0011637D">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7553</w:t>
            </w:r>
            <w:r w:rsidR="0011637D" w:rsidRPr="002B49A0">
              <w:rPr>
                <w:rFonts w:ascii="Calibri" w:eastAsia="Times New Roman" w:hAnsi="Calibri" w:cs="Calibri"/>
                <w:b/>
                <w:bCs/>
                <w:color w:val="000000"/>
                <w:sz w:val="20"/>
                <w:szCs w:val="20"/>
                <w:lang w:eastAsia="sk-SK"/>
              </w:rPr>
              <w:t xml:space="preserve"> €</w:t>
            </w:r>
          </w:p>
        </w:tc>
        <w:tc>
          <w:tcPr>
            <w:tcW w:w="2409"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246F1AB2" w14:textId="582B5191" w:rsidR="0011637D" w:rsidRPr="002B49A0" w:rsidRDefault="0089006B" w:rsidP="0011637D">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6</w:t>
            </w:r>
            <w:r w:rsidR="0011637D" w:rsidRPr="002B49A0">
              <w:rPr>
                <w:rFonts w:ascii="Calibri" w:eastAsia="Times New Roman" w:hAnsi="Calibri" w:cs="Calibri"/>
                <w:b/>
                <w:bCs/>
                <w:color w:val="000000"/>
                <w:sz w:val="20"/>
                <w:szCs w:val="20"/>
                <w:lang w:eastAsia="sk-SK"/>
              </w:rPr>
              <w:t xml:space="preserve"> </w:t>
            </w:r>
            <w:r w:rsidRPr="002B49A0">
              <w:rPr>
                <w:rFonts w:ascii="Calibri" w:eastAsia="Times New Roman" w:hAnsi="Calibri" w:cs="Calibri"/>
                <w:b/>
                <w:bCs/>
                <w:color w:val="000000"/>
                <w:sz w:val="20"/>
                <w:szCs w:val="20"/>
                <w:lang w:eastAsia="sk-SK"/>
              </w:rPr>
              <w:t>6</w:t>
            </w:r>
            <w:r w:rsidR="0011637D" w:rsidRPr="002B49A0">
              <w:rPr>
                <w:rFonts w:ascii="Calibri" w:eastAsia="Times New Roman" w:hAnsi="Calibri" w:cs="Calibri"/>
                <w:b/>
                <w:bCs/>
                <w:color w:val="000000"/>
                <w:sz w:val="20"/>
                <w:szCs w:val="20"/>
                <w:lang w:eastAsia="sk-SK"/>
              </w:rPr>
              <w:t>53 €</w:t>
            </w:r>
          </w:p>
        </w:tc>
      </w:tr>
    </w:tbl>
    <w:p w14:paraId="266358BE" w14:textId="32969E35" w:rsidR="0060033C" w:rsidRDefault="0060033C" w:rsidP="004E1ED8">
      <w:pPr>
        <w:spacing w:before="120" w:after="120"/>
        <w:rPr>
          <w:highlight w:val="yellow"/>
        </w:rPr>
      </w:pPr>
    </w:p>
    <w:p w14:paraId="4907909E" w14:textId="255C0B12" w:rsidR="006979E8" w:rsidRPr="00EE2892" w:rsidRDefault="006979E8" w:rsidP="006979E8">
      <w:pPr>
        <w:spacing w:before="120" w:after="120" w:line="276" w:lineRule="auto"/>
        <w:rPr>
          <w:i/>
          <w:iCs/>
        </w:rPr>
      </w:pPr>
      <w:r w:rsidRPr="00EE2892">
        <w:rPr>
          <w:rFonts w:cstheme="minorHAnsi"/>
          <w:i/>
          <w:iCs/>
        </w:rPr>
        <w:t>Tab. 2</w:t>
      </w:r>
      <w:r w:rsidR="009D46B3">
        <w:rPr>
          <w:rFonts w:cstheme="minorHAnsi"/>
          <w:i/>
          <w:iCs/>
        </w:rPr>
        <w:t>6</w:t>
      </w:r>
      <w:r w:rsidRPr="00EE2892">
        <w:rPr>
          <w:rFonts w:cstheme="minorHAnsi"/>
          <w:i/>
          <w:iCs/>
        </w:rPr>
        <w:t xml:space="preserve">:  </w:t>
      </w:r>
      <w:r w:rsidRPr="00EE2892">
        <w:rPr>
          <w:rFonts w:cstheme="minorHAnsi"/>
          <w:i/>
          <w:iCs/>
          <w:color w:val="000000"/>
          <w:lang w:eastAsia="sk-SK"/>
        </w:rPr>
        <w:t>Náklady na výmenu zdroja energie</w:t>
      </w:r>
      <w:r w:rsidR="0089006B">
        <w:rPr>
          <w:rFonts w:cstheme="minorHAnsi"/>
          <w:i/>
          <w:iCs/>
          <w:color w:val="000000"/>
          <w:lang w:eastAsia="sk-SK"/>
        </w:rPr>
        <w:t xml:space="preserve"> pri stredom rodinnom dome (RD_S)</w:t>
      </w:r>
    </w:p>
    <w:tbl>
      <w:tblPr>
        <w:tblW w:w="9057" w:type="dxa"/>
        <w:tblCellMar>
          <w:left w:w="70" w:type="dxa"/>
          <w:right w:w="70" w:type="dxa"/>
        </w:tblCellMar>
        <w:tblLook w:val="04A0" w:firstRow="1" w:lastRow="0" w:firstColumn="1" w:lastColumn="0" w:noHBand="0" w:noVBand="1"/>
      </w:tblPr>
      <w:tblGrid>
        <w:gridCol w:w="2253"/>
        <w:gridCol w:w="1843"/>
        <w:gridCol w:w="2552"/>
        <w:gridCol w:w="2409"/>
      </w:tblGrid>
      <w:tr w:rsidR="006979E8" w:rsidRPr="00752E6E" w14:paraId="3BEFA607" w14:textId="77777777" w:rsidTr="006979E8">
        <w:trPr>
          <w:trHeight w:val="765"/>
        </w:trPr>
        <w:tc>
          <w:tcPr>
            <w:tcW w:w="225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243E553" w14:textId="77777777" w:rsidR="006979E8" w:rsidRPr="002B49A0" w:rsidRDefault="006979E8" w:rsidP="006979E8">
            <w:pPr>
              <w:spacing w:after="0" w:line="240" w:lineRule="auto"/>
              <w:rPr>
                <w:rFonts w:ascii="Calibri" w:eastAsia="Times New Roman" w:hAnsi="Calibri" w:cs="Calibri"/>
                <w:b/>
                <w:bCs/>
                <w:sz w:val="20"/>
                <w:szCs w:val="20"/>
                <w:lang w:eastAsia="sk-SK"/>
              </w:rPr>
            </w:pPr>
            <w:r w:rsidRPr="002B49A0">
              <w:rPr>
                <w:rFonts w:ascii="Calibri" w:eastAsia="Times New Roman" w:hAnsi="Calibri" w:cs="Calibri"/>
                <w:b/>
                <w:bCs/>
                <w:sz w:val="20"/>
                <w:szCs w:val="20"/>
                <w:lang w:eastAsia="sk-SK"/>
              </w:rPr>
              <w:t>Zdroj</w:t>
            </w:r>
          </w:p>
        </w:tc>
        <w:tc>
          <w:tcPr>
            <w:tcW w:w="184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41C17885" w14:textId="77777777" w:rsidR="006979E8" w:rsidRPr="002B49A0" w:rsidRDefault="006979E8" w:rsidP="006979E8">
            <w:pPr>
              <w:jc w:val="center"/>
              <w:rPr>
                <w:b/>
                <w:bCs/>
                <w:sz w:val="20"/>
                <w:szCs w:val="20"/>
              </w:rPr>
            </w:pPr>
            <w:r w:rsidRPr="002B49A0">
              <w:rPr>
                <w:b/>
                <w:bCs/>
                <w:sz w:val="20"/>
                <w:szCs w:val="20"/>
              </w:rPr>
              <w:t>Kotol na drevené pelety</w:t>
            </w:r>
          </w:p>
          <w:p w14:paraId="36395837" w14:textId="77777777" w:rsidR="006979E8" w:rsidRPr="002B49A0" w:rsidRDefault="006979E8" w:rsidP="006979E8">
            <w:pPr>
              <w:jc w:val="center"/>
              <w:rPr>
                <w:b/>
                <w:bCs/>
                <w:sz w:val="20"/>
                <w:szCs w:val="20"/>
              </w:rPr>
            </w:pPr>
            <w:r w:rsidRPr="002B49A0">
              <w:rPr>
                <w:b/>
                <w:bCs/>
                <w:sz w:val="20"/>
                <w:szCs w:val="20"/>
              </w:rPr>
              <w:t>RD_O1</w:t>
            </w:r>
          </w:p>
        </w:tc>
        <w:tc>
          <w:tcPr>
            <w:tcW w:w="2552" w:type="dxa"/>
            <w:tcBorders>
              <w:top w:val="single" w:sz="12" w:space="0" w:color="auto"/>
              <w:left w:val="nil"/>
              <w:bottom w:val="single" w:sz="12" w:space="0" w:color="auto"/>
              <w:right w:val="single" w:sz="4" w:space="0" w:color="auto"/>
            </w:tcBorders>
            <w:vAlign w:val="center"/>
          </w:tcPr>
          <w:p w14:paraId="50F9FDE9" w14:textId="77777777" w:rsidR="006979E8" w:rsidRPr="002B49A0" w:rsidRDefault="006979E8" w:rsidP="006979E8">
            <w:pPr>
              <w:jc w:val="center"/>
              <w:rPr>
                <w:b/>
                <w:bCs/>
                <w:sz w:val="20"/>
                <w:szCs w:val="20"/>
              </w:rPr>
            </w:pPr>
            <w:r w:rsidRPr="002B49A0">
              <w:rPr>
                <w:b/>
                <w:bCs/>
                <w:sz w:val="20"/>
                <w:szCs w:val="20"/>
              </w:rPr>
              <w:t>TČ - vzduch/voda (8 kW)</w:t>
            </w:r>
          </w:p>
          <w:p w14:paraId="218EBBDF" w14:textId="77777777" w:rsidR="006979E8" w:rsidRPr="002B49A0" w:rsidRDefault="006979E8" w:rsidP="006979E8">
            <w:pPr>
              <w:jc w:val="center"/>
              <w:rPr>
                <w:b/>
                <w:bCs/>
                <w:sz w:val="20"/>
                <w:szCs w:val="20"/>
              </w:rPr>
            </w:pPr>
            <w:r w:rsidRPr="002B49A0">
              <w:rPr>
                <w:b/>
                <w:bCs/>
                <w:sz w:val="20"/>
                <w:szCs w:val="20"/>
              </w:rPr>
              <w:t>RD_O2</w:t>
            </w:r>
          </w:p>
        </w:tc>
        <w:tc>
          <w:tcPr>
            <w:tcW w:w="240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7BCA26E3" w14:textId="77777777" w:rsidR="006979E8" w:rsidRPr="002B49A0" w:rsidRDefault="006979E8" w:rsidP="006979E8">
            <w:pPr>
              <w:jc w:val="center"/>
              <w:rPr>
                <w:b/>
                <w:bCs/>
                <w:sz w:val="20"/>
                <w:szCs w:val="20"/>
              </w:rPr>
            </w:pPr>
            <w:r w:rsidRPr="002B49A0">
              <w:rPr>
                <w:b/>
                <w:bCs/>
                <w:sz w:val="20"/>
                <w:szCs w:val="20"/>
              </w:rPr>
              <w:t>TČ - vzduch/voda (6 kW)</w:t>
            </w:r>
          </w:p>
          <w:p w14:paraId="1542BA3E" w14:textId="77777777" w:rsidR="006979E8" w:rsidRPr="002B49A0" w:rsidRDefault="006979E8" w:rsidP="006979E8">
            <w:pPr>
              <w:jc w:val="center"/>
              <w:rPr>
                <w:b/>
                <w:bCs/>
                <w:sz w:val="20"/>
                <w:szCs w:val="20"/>
              </w:rPr>
            </w:pPr>
            <w:r w:rsidRPr="002B49A0">
              <w:rPr>
                <w:b/>
                <w:bCs/>
                <w:sz w:val="20"/>
                <w:szCs w:val="20"/>
              </w:rPr>
              <w:t>RD_O3</w:t>
            </w:r>
          </w:p>
        </w:tc>
      </w:tr>
      <w:tr w:rsidR="006979E8" w:rsidRPr="00752E6E" w14:paraId="3B9B8564" w14:textId="77777777" w:rsidTr="006979E8">
        <w:trPr>
          <w:trHeight w:val="340"/>
        </w:trPr>
        <w:tc>
          <w:tcPr>
            <w:tcW w:w="225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3C13BA6" w14:textId="77777777" w:rsidR="006979E8" w:rsidRPr="002B49A0" w:rsidRDefault="006979E8" w:rsidP="006979E8">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Zdroj</w:t>
            </w:r>
          </w:p>
        </w:tc>
        <w:tc>
          <w:tcPr>
            <w:tcW w:w="184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571A38BA"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3 700 €</w:t>
            </w:r>
          </w:p>
        </w:tc>
        <w:tc>
          <w:tcPr>
            <w:tcW w:w="2552" w:type="dxa"/>
            <w:tcBorders>
              <w:top w:val="single" w:sz="12" w:space="0" w:color="auto"/>
              <w:left w:val="nil"/>
              <w:bottom w:val="single" w:sz="4" w:space="0" w:color="auto"/>
              <w:right w:val="single" w:sz="4" w:space="0" w:color="auto"/>
            </w:tcBorders>
            <w:vAlign w:val="center"/>
          </w:tcPr>
          <w:p w14:paraId="23FF274A"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7 010 €</w:t>
            </w:r>
          </w:p>
        </w:tc>
        <w:tc>
          <w:tcPr>
            <w:tcW w:w="240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0E93150E"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6 310 €</w:t>
            </w:r>
          </w:p>
        </w:tc>
      </w:tr>
      <w:tr w:rsidR="006979E8" w:rsidRPr="00752E6E" w14:paraId="27A2FF4F" w14:textId="77777777" w:rsidTr="006979E8">
        <w:trPr>
          <w:trHeight w:val="340"/>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585915DC" w14:textId="77777777" w:rsidR="006979E8" w:rsidRPr="002B49A0" w:rsidRDefault="006979E8" w:rsidP="006979E8">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Inštalačný materiál</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6CA86C2A"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572 €</w:t>
            </w:r>
          </w:p>
        </w:tc>
        <w:tc>
          <w:tcPr>
            <w:tcW w:w="2552" w:type="dxa"/>
            <w:tcBorders>
              <w:top w:val="nil"/>
              <w:left w:val="nil"/>
              <w:bottom w:val="single" w:sz="4" w:space="0" w:color="auto"/>
              <w:right w:val="single" w:sz="4" w:space="0" w:color="auto"/>
            </w:tcBorders>
            <w:vAlign w:val="center"/>
          </w:tcPr>
          <w:p w14:paraId="144A7FE5"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1 073 €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091938C1"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1 073 €</w:t>
            </w:r>
          </w:p>
        </w:tc>
      </w:tr>
      <w:tr w:rsidR="006979E8" w:rsidRPr="00752E6E" w14:paraId="7DD4FB28" w14:textId="77777777" w:rsidTr="006979E8">
        <w:trPr>
          <w:trHeight w:val="340"/>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33294035" w14:textId="77777777" w:rsidR="006979E8" w:rsidRPr="002B49A0" w:rsidRDefault="006979E8" w:rsidP="006979E8">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Zásobník na TÚV</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5091082C"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450 €</w:t>
            </w:r>
          </w:p>
        </w:tc>
        <w:tc>
          <w:tcPr>
            <w:tcW w:w="2552" w:type="dxa"/>
            <w:tcBorders>
              <w:top w:val="nil"/>
              <w:left w:val="nil"/>
              <w:bottom w:val="single" w:sz="4" w:space="0" w:color="auto"/>
              <w:right w:val="single" w:sz="4" w:space="0" w:color="auto"/>
            </w:tcBorders>
            <w:vAlign w:val="center"/>
          </w:tcPr>
          <w:p w14:paraId="66F34E6F"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0 €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1F14D8FC"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0 €</w:t>
            </w:r>
          </w:p>
        </w:tc>
      </w:tr>
      <w:tr w:rsidR="006979E8" w:rsidRPr="00752E6E" w14:paraId="7616664A" w14:textId="77777777" w:rsidTr="006979E8">
        <w:trPr>
          <w:trHeight w:val="340"/>
        </w:trPr>
        <w:tc>
          <w:tcPr>
            <w:tcW w:w="2253" w:type="dxa"/>
            <w:tcBorders>
              <w:top w:val="nil"/>
              <w:left w:val="single" w:sz="12" w:space="0" w:color="auto"/>
              <w:bottom w:val="single" w:sz="4" w:space="0" w:color="auto"/>
              <w:right w:val="single" w:sz="12" w:space="0" w:color="auto"/>
            </w:tcBorders>
            <w:shd w:val="clear" w:color="auto" w:fill="auto"/>
            <w:vAlign w:val="center"/>
            <w:hideMark/>
          </w:tcPr>
          <w:p w14:paraId="6EB435E6" w14:textId="77777777" w:rsidR="006979E8" w:rsidRPr="002B49A0" w:rsidRDefault="006979E8" w:rsidP="006979E8">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Uvedenie do prevádzky</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1284A8E0"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c>
          <w:tcPr>
            <w:tcW w:w="2552" w:type="dxa"/>
            <w:tcBorders>
              <w:top w:val="nil"/>
              <w:left w:val="nil"/>
              <w:bottom w:val="single" w:sz="4" w:space="0" w:color="auto"/>
              <w:right w:val="single" w:sz="4" w:space="0" w:color="auto"/>
            </w:tcBorders>
            <w:vAlign w:val="center"/>
          </w:tcPr>
          <w:p w14:paraId="064F57A5"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2CE2063F" w14:textId="77777777" w:rsidR="006979E8" w:rsidRPr="002B49A0" w:rsidRDefault="006979E8" w:rsidP="006979E8">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r>
      <w:tr w:rsidR="006979E8" w:rsidRPr="00752E6E" w14:paraId="66FA0637" w14:textId="77777777" w:rsidTr="006979E8">
        <w:trPr>
          <w:trHeight w:val="406"/>
        </w:trPr>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45F290E" w14:textId="77777777" w:rsidR="006979E8" w:rsidRPr="002B49A0" w:rsidRDefault="006979E8" w:rsidP="006979E8">
            <w:pPr>
              <w:spacing w:after="0" w:line="240" w:lineRule="auto"/>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SPOLU</w:t>
            </w:r>
          </w:p>
        </w:tc>
        <w:tc>
          <w:tcPr>
            <w:tcW w:w="184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61B6E7CF" w14:textId="77777777" w:rsidR="006979E8" w:rsidRPr="002B49A0" w:rsidRDefault="006979E8" w:rsidP="006979E8">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4 892 €</w:t>
            </w:r>
          </w:p>
        </w:tc>
        <w:tc>
          <w:tcPr>
            <w:tcW w:w="2552" w:type="dxa"/>
            <w:tcBorders>
              <w:top w:val="single" w:sz="12" w:space="0" w:color="auto"/>
              <w:left w:val="nil"/>
              <w:bottom w:val="single" w:sz="12" w:space="0" w:color="auto"/>
              <w:right w:val="single" w:sz="4" w:space="0" w:color="auto"/>
            </w:tcBorders>
            <w:vAlign w:val="center"/>
          </w:tcPr>
          <w:p w14:paraId="40E7D55A" w14:textId="77777777" w:rsidR="006979E8" w:rsidRPr="002B49A0" w:rsidRDefault="006979E8" w:rsidP="006979E8">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8 253 €</w:t>
            </w:r>
          </w:p>
        </w:tc>
        <w:tc>
          <w:tcPr>
            <w:tcW w:w="2409"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18F0BFC7" w14:textId="77777777" w:rsidR="006979E8" w:rsidRPr="002B49A0" w:rsidRDefault="006979E8" w:rsidP="006979E8">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7 553 €</w:t>
            </w:r>
          </w:p>
        </w:tc>
      </w:tr>
    </w:tbl>
    <w:p w14:paraId="20CD4C6A" w14:textId="77777777" w:rsidR="006979E8" w:rsidRDefault="006979E8" w:rsidP="006979E8">
      <w:pPr>
        <w:spacing w:before="120" w:after="120"/>
        <w:rPr>
          <w:highlight w:val="yellow"/>
        </w:rPr>
      </w:pPr>
    </w:p>
    <w:p w14:paraId="7EF94F94" w14:textId="388BCC59" w:rsidR="006979E8" w:rsidRPr="00EE2892" w:rsidRDefault="006979E8" w:rsidP="006979E8">
      <w:pPr>
        <w:spacing w:before="120" w:after="120" w:line="276" w:lineRule="auto"/>
        <w:rPr>
          <w:i/>
          <w:iCs/>
        </w:rPr>
      </w:pPr>
      <w:r w:rsidRPr="00EE2892">
        <w:rPr>
          <w:rFonts w:cstheme="minorHAnsi"/>
          <w:i/>
          <w:iCs/>
        </w:rPr>
        <w:t>Tab. 2</w:t>
      </w:r>
      <w:r w:rsidR="009D46B3">
        <w:rPr>
          <w:rFonts w:cstheme="minorHAnsi"/>
          <w:i/>
          <w:iCs/>
        </w:rPr>
        <w:t>7</w:t>
      </w:r>
      <w:r w:rsidRPr="00EE2892">
        <w:rPr>
          <w:rFonts w:cstheme="minorHAnsi"/>
          <w:i/>
          <w:iCs/>
        </w:rPr>
        <w:t xml:space="preserve">:  </w:t>
      </w:r>
      <w:r w:rsidRPr="00EE2892">
        <w:rPr>
          <w:rFonts w:cstheme="minorHAnsi"/>
          <w:i/>
          <w:iCs/>
          <w:color w:val="000000"/>
          <w:lang w:eastAsia="sk-SK"/>
        </w:rPr>
        <w:t>Náklady na výmenu zdroja energie</w:t>
      </w:r>
      <w:r w:rsidR="0089006B">
        <w:rPr>
          <w:rFonts w:cstheme="minorHAnsi"/>
          <w:i/>
          <w:iCs/>
          <w:color w:val="000000"/>
          <w:lang w:eastAsia="sk-SK"/>
        </w:rPr>
        <w:t xml:space="preserve"> pri veľkom rodinnom dome (RD_V)</w:t>
      </w:r>
    </w:p>
    <w:tbl>
      <w:tblPr>
        <w:tblW w:w="9057" w:type="dxa"/>
        <w:tblCellMar>
          <w:left w:w="70" w:type="dxa"/>
          <w:right w:w="70" w:type="dxa"/>
        </w:tblCellMar>
        <w:tblLook w:val="04A0" w:firstRow="1" w:lastRow="0" w:firstColumn="1" w:lastColumn="0" w:noHBand="0" w:noVBand="1"/>
      </w:tblPr>
      <w:tblGrid>
        <w:gridCol w:w="2253"/>
        <w:gridCol w:w="1843"/>
        <w:gridCol w:w="2552"/>
        <w:gridCol w:w="2409"/>
      </w:tblGrid>
      <w:tr w:rsidR="006979E8" w:rsidRPr="00752E6E" w14:paraId="01F72636" w14:textId="77777777" w:rsidTr="006979E8">
        <w:trPr>
          <w:trHeight w:val="765"/>
        </w:trPr>
        <w:tc>
          <w:tcPr>
            <w:tcW w:w="225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D6ECF23" w14:textId="77777777" w:rsidR="006979E8" w:rsidRPr="002B49A0" w:rsidRDefault="006979E8" w:rsidP="006979E8">
            <w:pPr>
              <w:spacing w:after="0" w:line="240" w:lineRule="auto"/>
              <w:rPr>
                <w:rFonts w:ascii="Calibri" w:eastAsia="Times New Roman" w:hAnsi="Calibri" w:cs="Calibri"/>
                <w:b/>
                <w:bCs/>
                <w:sz w:val="20"/>
                <w:szCs w:val="20"/>
                <w:lang w:eastAsia="sk-SK"/>
              </w:rPr>
            </w:pPr>
            <w:r w:rsidRPr="002B49A0">
              <w:rPr>
                <w:rFonts w:ascii="Calibri" w:eastAsia="Times New Roman" w:hAnsi="Calibri" w:cs="Calibri"/>
                <w:b/>
                <w:bCs/>
                <w:sz w:val="20"/>
                <w:szCs w:val="20"/>
                <w:lang w:eastAsia="sk-SK"/>
              </w:rPr>
              <w:t>Zdroj</w:t>
            </w:r>
          </w:p>
        </w:tc>
        <w:tc>
          <w:tcPr>
            <w:tcW w:w="1843"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5F0D3A9E" w14:textId="77777777" w:rsidR="006979E8" w:rsidRPr="002B49A0" w:rsidRDefault="006979E8" w:rsidP="006979E8">
            <w:pPr>
              <w:jc w:val="center"/>
              <w:rPr>
                <w:b/>
                <w:bCs/>
                <w:sz w:val="20"/>
                <w:szCs w:val="20"/>
              </w:rPr>
            </w:pPr>
            <w:r w:rsidRPr="002B49A0">
              <w:rPr>
                <w:b/>
                <w:bCs/>
                <w:sz w:val="20"/>
                <w:szCs w:val="20"/>
              </w:rPr>
              <w:t>Kotol na drevené pelety</w:t>
            </w:r>
          </w:p>
          <w:p w14:paraId="198EB57D" w14:textId="77777777" w:rsidR="006979E8" w:rsidRPr="002B49A0" w:rsidRDefault="006979E8" w:rsidP="006979E8">
            <w:pPr>
              <w:jc w:val="center"/>
              <w:rPr>
                <w:b/>
                <w:bCs/>
                <w:sz w:val="20"/>
                <w:szCs w:val="20"/>
              </w:rPr>
            </w:pPr>
            <w:r w:rsidRPr="002B49A0">
              <w:rPr>
                <w:b/>
                <w:bCs/>
                <w:sz w:val="20"/>
                <w:szCs w:val="20"/>
              </w:rPr>
              <w:t>RD_O1</w:t>
            </w:r>
          </w:p>
        </w:tc>
        <w:tc>
          <w:tcPr>
            <w:tcW w:w="2552" w:type="dxa"/>
            <w:tcBorders>
              <w:top w:val="single" w:sz="12" w:space="0" w:color="auto"/>
              <w:left w:val="nil"/>
              <w:bottom w:val="single" w:sz="12" w:space="0" w:color="auto"/>
              <w:right w:val="single" w:sz="4" w:space="0" w:color="auto"/>
            </w:tcBorders>
            <w:vAlign w:val="center"/>
          </w:tcPr>
          <w:p w14:paraId="12D53A14" w14:textId="35A72044" w:rsidR="006979E8" w:rsidRPr="002B49A0" w:rsidRDefault="006979E8" w:rsidP="006979E8">
            <w:pPr>
              <w:jc w:val="center"/>
              <w:rPr>
                <w:b/>
                <w:bCs/>
                <w:sz w:val="20"/>
                <w:szCs w:val="20"/>
              </w:rPr>
            </w:pPr>
            <w:r w:rsidRPr="002B49A0">
              <w:rPr>
                <w:b/>
                <w:bCs/>
                <w:sz w:val="20"/>
                <w:szCs w:val="20"/>
              </w:rPr>
              <w:t>TČ - vzduch/voda (</w:t>
            </w:r>
            <w:r w:rsidR="0089006B" w:rsidRPr="002B49A0">
              <w:rPr>
                <w:b/>
                <w:bCs/>
                <w:sz w:val="20"/>
                <w:szCs w:val="20"/>
              </w:rPr>
              <w:t>11</w:t>
            </w:r>
            <w:r w:rsidRPr="002B49A0">
              <w:rPr>
                <w:b/>
                <w:bCs/>
                <w:sz w:val="20"/>
                <w:szCs w:val="20"/>
              </w:rPr>
              <w:t xml:space="preserve"> kW)</w:t>
            </w:r>
          </w:p>
          <w:p w14:paraId="1921D78D" w14:textId="77777777" w:rsidR="006979E8" w:rsidRPr="002B49A0" w:rsidRDefault="006979E8" w:rsidP="006979E8">
            <w:pPr>
              <w:jc w:val="center"/>
              <w:rPr>
                <w:b/>
                <w:bCs/>
                <w:sz w:val="20"/>
                <w:szCs w:val="20"/>
              </w:rPr>
            </w:pPr>
            <w:r w:rsidRPr="002B49A0">
              <w:rPr>
                <w:b/>
                <w:bCs/>
                <w:sz w:val="20"/>
                <w:szCs w:val="20"/>
              </w:rPr>
              <w:t>RD_O2</w:t>
            </w:r>
          </w:p>
        </w:tc>
        <w:tc>
          <w:tcPr>
            <w:tcW w:w="2409" w:type="dxa"/>
            <w:tcBorders>
              <w:top w:val="single" w:sz="12" w:space="0" w:color="auto"/>
              <w:left w:val="single" w:sz="4" w:space="0" w:color="auto"/>
              <w:bottom w:val="single" w:sz="12" w:space="0" w:color="auto"/>
              <w:right w:val="single" w:sz="12" w:space="0" w:color="auto"/>
            </w:tcBorders>
            <w:shd w:val="clear" w:color="auto" w:fill="auto"/>
            <w:vAlign w:val="center"/>
            <w:hideMark/>
          </w:tcPr>
          <w:p w14:paraId="4256FE3C" w14:textId="4186A026" w:rsidR="006979E8" w:rsidRPr="002B49A0" w:rsidRDefault="006979E8" w:rsidP="006979E8">
            <w:pPr>
              <w:jc w:val="center"/>
              <w:rPr>
                <w:b/>
                <w:bCs/>
                <w:sz w:val="20"/>
                <w:szCs w:val="20"/>
              </w:rPr>
            </w:pPr>
            <w:r w:rsidRPr="002B49A0">
              <w:rPr>
                <w:b/>
                <w:bCs/>
                <w:sz w:val="20"/>
                <w:szCs w:val="20"/>
              </w:rPr>
              <w:t>TČ - vzduch/voda (</w:t>
            </w:r>
            <w:r w:rsidR="0089006B" w:rsidRPr="002B49A0">
              <w:rPr>
                <w:b/>
                <w:bCs/>
                <w:sz w:val="20"/>
                <w:szCs w:val="20"/>
              </w:rPr>
              <w:t>8</w:t>
            </w:r>
            <w:r w:rsidRPr="002B49A0">
              <w:rPr>
                <w:b/>
                <w:bCs/>
                <w:sz w:val="20"/>
                <w:szCs w:val="20"/>
              </w:rPr>
              <w:t xml:space="preserve"> kW)</w:t>
            </w:r>
          </w:p>
          <w:p w14:paraId="1E641E9D" w14:textId="77777777" w:rsidR="006979E8" w:rsidRPr="002B49A0" w:rsidRDefault="006979E8" w:rsidP="006979E8">
            <w:pPr>
              <w:jc w:val="center"/>
              <w:rPr>
                <w:b/>
                <w:bCs/>
                <w:sz w:val="20"/>
                <w:szCs w:val="20"/>
              </w:rPr>
            </w:pPr>
            <w:r w:rsidRPr="002B49A0">
              <w:rPr>
                <w:b/>
                <w:bCs/>
                <w:sz w:val="20"/>
                <w:szCs w:val="20"/>
              </w:rPr>
              <w:t>RD_O3</w:t>
            </w:r>
          </w:p>
        </w:tc>
      </w:tr>
      <w:tr w:rsidR="0089006B" w:rsidRPr="00752E6E" w14:paraId="3B3F5ECC" w14:textId="77777777" w:rsidTr="006979E8">
        <w:trPr>
          <w:trHeight w:val="340"/>
        </w:trPr>
        <w:tc>
          <w:tcPr>
            <w:tcW w:w="2253"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01818970" w14:textId="77777777" w:rsidR="0089006B" w:rsidRPr="002B49A0" w:rsidRDefault="0089006B" w:rsidP="0089006B">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Zdroj</w:t>
            </w:r>
          </w:p>
        </w:tc>
        <w:tc>
          <w:tcPr>
            <w:tcW w:w="1843"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1823A6C" w14:textId="7777777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3 700 €</w:t>
            </w:r>
          </w:p>
        </w:tc>
        <w:tc>
          <w:tcPr>
            <w:tcW w:w="2552" w:type="dxa"/>
            <w:tcBorders>
              <w:top w:val="single" w:sz="12" w:space="0" w:color="auto"/>
              <w:left w:val="nil"/>
              <w:bottom w:val="single" w:sz="4" w:space="0" w:color="auto"/>
              <w:right w:val="single" w:sz="4" w:space="0" w:color="auto"/>
            </w:tcBorders>
            <w:vAlign w:val="center"/>
          </w:tcPr>
          <w:p w14:paraId="5C081C91" w14:textId="57BD8C7D"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8 510 €</w:t>
            </w:r>
          </w:p>
        </w:tc>
        <w:tc>
          <w:tcPr>
            <w:tcW w:w="2409" w:type="dxa"/>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3E3CBD85" w14:textId="2E845BAD"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7 010 €</w:t>
            </w:r>
          </w:p>
        </w:tc>
      </w:tr>
      <w:tr w:rsidR="0089006B" w:rsidRPr="00752E6E" w14:paraId="15830EF6" w14:textId="77777777" w:rsidTr="006979E8">
        <w:trPr>
          <w:trHeight w:val="340"/>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09249CE4" w14:textId="77777777" w:rsidR="0089006B" w:rsidRPr="002B49A0" w:rsidRDefault="0089006B" w:rsidP="0089006B">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Inštalačný materiál</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5CA39611" w14:textId="7777777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572 €</w:t>
            </w:r>
          </w:p>
        </w:tc>
        <w:tc>
          <w:tcPr>
            <w:tcW w:w="2552" w:type="dxa"/>
            <w:tcBorders>
              <w:top w:val="nil"/>
              <w:left w:val="nil"/>
              <w:bottom w:val="single" w:sz="4" w:space="0" w:color="auto"/>
              <w:right w:val="single" w:sz="4" w:space="0" w:color="auto"/>
            </w:tcBorders>
            <w:vAlign w:val="center"/>
          </w:tcPr>
          <w:p w14:paraId="0AC0EFB5" w14:textId="7777777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1 073 €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26B8AAF4" w14:textId="5B65567D"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1 073 €</w:t>
            </w:r>
          </w:p>
        </w:tc>
      </w:tr>
      <w:tr w:rsidR="0089006B" w:rsidRPr="00752E6E" w14:paraId="25B33D7B" w14:textId="77777777" w:rsidTr="006979E8">
        <w:trPr>
          <w:trHeight w:val="340"/>
        </w:trPr>
        <w:tc>
          <w:tcPr>
            <w:tcW w:w="2253" w:type="dxa"/>
            <w:tcBorders>
              <w:top w:val="nil"/>
              <w:left w:val="single" w:sz="12" w:space="0" w:color="auto"/>
              <w:bottom w:val="single" w:sz="4" w:space="0" w:color="auto"/>
              <w:right w:val="single" w:sz="12" w:space="0" w:color="auto"/>
            </w:tcBorders>
            <w:shd w:val="clear" w:color="auto" w:fill="auto"/>
            <w:noWrap/>
            <w:vAlign w:val="bottom"/>
            <w:hideMark/>
          </w:tcPr>
          <w:p w14:paraId="5FE1AF4F" w14:textId="77777777" w:rsidR="0089006B" w:rsidRPr="002B49A0" w:rsidRDefault="0089006B" w:rsidP="0089006B">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Zásobník na TÚV</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700F4F86" w14:textId="6B1F894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600 €</w:t>
            </w:r>
          </w:p>
        </w:tc>
        <w:tc>
          <w:tcPr>
            <w:tcW w:w="2552" w:type="dxa"/>
            <w:tcBorders>
              <w:top w:val="nil"/>
              <w:left w:val="nil"/>
              <w:bottom w:val="single" w:sz="4" w:space="0" w:color="auto"/>
              <w:right w:val="single" w:sz="4" w:space="0" w:color="auto"/>
            </w:tcBorders>
            <w:vAlign w:val="center"/>
          </w:tcPr>
          <w:p w14:paraId="166AC21E" w14:textId="7777777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0 €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18A5A4E2" w14:textId="63F281F4"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0 €</w:t>
            </w:r>
          </w:p>
        </w:tc>
      </w:tr>
      <w:tr w:rsidR="0089006B" w:rsidRPr="00752E6E" w14:paraId="29D3CE2D" w14:textId="77777777" w:rsidTr="006979E8">
        <w:trPr>
          <w:trHeight w:val="340"/>
        </w:trPr>
        <w:tc>
          <w:tcPr>
            <w:tcW w:w="2253" w:type="dxa"/>
            <w:tcBorders>
              <w:top w:val="nil"/>
              <w:left w:val="single" w:sz="12" w:space="0" w:color="auto"/>
              <w:bottom w:val="single" w:sz="4" w:space="0" w:color="auto"/>
              <w:right w:val="single" w:sz="12" w:space="0" w:color="auto"/>
            </w:tcBorders>
            <w:shd w:val="clear" w:color="auto" w:fill="auto"/>
            <w:vAlign w:val="center"/>
            <w:hideMark/>
          </w:tcPr>
          <w:p w14:paraId="684A672E" w14:textId="77777777" w:rsidR="0089006B" w:rsidRPr="002B49A0" w:rsidRDefault="0089006B" w:rsidP="0089006B">
            <w:pPr>
              <w:spacing w:after="0" w:line="240" w:lineRule="auto"/>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Uvedenie do prevádzky</w:t>
            </w:r>
          </w:p>
        </w:tc>
        <w:tc>
          <w:tcPr>
            <w:tcW w:w="1843" w:type="dxa"/>
            <w:tcBorders>
              <w:top w:val="nil"/>
              <w:left w:val="single" w:sz="12" w:space="0" w:color="auto"/>
              <w:bottom w:val="single" w:sz="4" w:space="0" w:color="auto"/>
              <w:right w:val="single" w:sz="4" w:space="0" w:color="auto"/>
            </w:tcBorders>
            <w:shd w:val="clear" w:color="auto" w:fill="auto"/>
            <w:noWrap/>
            <w:vAlign w:val="center"/>
            <w:hideMark/>
          </w:tcPr>
          <w:p w14:paraId="09654534" w14:textId="7777777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c>
          <w:tcPr>
            <w:tcW w:w="2552" w:type="dxa"/>
            <w:tcBorders>
              <w:top w:val="nil"/>
              <w:left w:val="nil"/>
              <w:bottom w:val="single" w:sz="4" w:space="0" w:color="auto"/>
              <w:right w:val="single" w:sz="4" w:space="0" w:color="auto"/>
            </w:tcBorders>
            <w:vAlign w:val="center"/>
          </w:tcPr>
          <w:p w14:paraId="0D1C882D" w14:textId="77777777"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c>
          <w:tcPr>
            <w:tcW w:w="2409" w:type="dxa"/>
            <w:tcBorders>
              <w:top w:val="nil"/>
              <w:left w:val="single" w:sz="4" w:space="0" w:color="auto"/>
              <w:bottom w:val="single" w:sz="4" w:space="0" w:color="auto"/>
              <w:right w:val="single" w:sz="12" w:space="0" w:color="auto"/>
            </w:tcBorders>
            <w:shd w:val="clear" w:color="auto" w:fill="auto"/>
            <w:noWrap/>
            <w:vAlign w:val="center"/>
            <w:hideMark/>
          </w:tcPr>
          <w:p w14:paraId="1AA0E73D" w14:textId="15AC31C0" w:rsidR="0089006B" w:rsidRPr="002B49A0" w:rsidRDefault="0089006B" w:rsidP="0089006B">
            <w:pPr>
              <w:spacing w:after="0" w:line="240" w:lineRule="auto"/>
              <w:jc w:val="center"/>
              <w:rPr>
                <w:rFonts w:ascii="Calibri" w:eastAsia="Times New Roman" w:hAnsi="Calibri" w:cs="Calibri"/>
                <w:color w:val="000000"/>
                <w:sz w:val="20"/>
                <w:szCs w:val="20"/>
                <w:lang w:eastAsia="sk-SK"/>
              </w:rPr>
            </w:pPr>
            <w:r w:rsidRPr="002B49A0">
              <w:rPr>
                <w:rFonts w:ascii="Calibri" w:eastAsia="Times New Roman" w:hAnsi="Calibri" w:cs="Calibri"/>
                <w:color w:val="000000"/>
                <w:sz w:val="20"/>
                <w:szCs w:val="20"/>
                <w:lang w:eastAsia="sk-SK"/>
              </w:rPr>
              <w:t>170 €</w:t>
            </w:r>
          </w:p>
        </w:tc>
      </w:tr>
      <w:tr w:rsidR="0089006B" w:rsidRPr="00752E6E" w14:paraId="54A5197F" w14:textId="77777777" w:rsidTr="006979E8">
        <w:trPr>
          <w:trHeight w:val="406"/>
        </w:trPr>
        <w:tc>
          <w:tcPr>
            <w:tcW w:w="225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D9964F9" w14:textId="77777777" w:rsidR="0089006B" w:rsidRPr="002B49A0" w:rsidRDefault="0089006B" w:rsidP="0089006B">
            <w:pPr>
              <w:spacing w:after="0" w:line="240" w:lineRule="auto"/>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SPOLU</w:t>
            </w:r>
          </w:p>
        </w:tc>
        <w:tc>
          <w:tcPr>
            <w:tcW w:w="1843"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40C36904" w14:textId="3A3A7263" w:rsidR="0089006B" w:rsidRPr="002B49A0" w:rsidRDefault="0089006B" w:rsidP="0089006B">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5 042 €</w:t>
            </w:r>
          </w:p>
        </w:tc>
        <w:tc>
          <w:tcPr>
            <w:tcW w:w="2552" w:type="dxa"/>
            <w:tcBorders>
              <w:top w:val="single" w:sz="12" w:space="0" w:color="auto"/>
              <w:left w:val="nil"/>
              <w:bottom w:val="single" w:sz="12" w:space="0" w:color="auto"/>
              <w:right w:val="single" w:sz="4" w:space="0" w:color="auto"/>
            </w:tcBorders>
            <w:vAlign w:val="center"/>
          </w:tcPr>
          <w:p w14:paraId="23A0A003" w14:textId="554D5B7B" w:rsidR="0089006B" w:rsidRPr="002B49A0" w:rsidRDefault="0089006B" w:rsidP="0089006B">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9 753 €</w:t>
            </w:r>
          </w:p>
        </w:tc>
        <w:tc>
          <w:tcPr>
            <w:tcW w:w="2409" w:type="dxa"/>
            <w:tcBorders>
              <w:top w:val="single" w:sz="12" w:space="0" w:color="auto"/>
              <w:left w:val="single" w:sz="4" w:space="0" w:color="auto"/>
              <w:bottom w:val="single" w:sz="12" w:space="0" w:color="auto"/>
              <w:right w:val="single" w:sz="12" w:space="0" w:color="auto"/>
            </w:tcBorders>
            <w:shd w:val="clear" w:color="auto" w:fill="auto"/>
            <w:noWrap/>
            <w:vAlign w:val="center"/>
            <w:hideMark/>
          </w:tcPr>
          <w:p w14:paraId="64275998" w14:textId="589DC126" w:rsidR="0089006B" w:rsidRPr="002B49A0" w:rsidRDefault="0089006B" w:rsidP="0089006B">
            <w:pPr>
              <w:spacing w:after="0" w:line="240" w:lineRule="auto"/>
              <w:jc w:val="center"/>
              <w:rPr>
                <w:rFonts w:ascii="Calibri" w:eastAsia="Times New Roman" w:hAnsi="Calibri" w:cs="Calibri"/>
                <w:b/>
                <w:bCs/>
                <w:color w:val="000000"/>
                <w:sz w:val="20"/>
                <w:szCs w:val="20"/>
                <w:lang w:eastAsia="sk-SK"/>
              </w:rPr>
            </w:pPr>
            <w:r w:rsidRPr="002B49A0">
              <w:rPr>
                <w:rFonts w:ascii="Calibri" w:eastAsia="Times New Roman" w:hAnsi="Calibri" w:cs="Calibri"/>
                <w:b/>
                <w:bCs/>
                <w:color w:val="000000"/>
                <w:sz w:val="20"/>
                <w:szCs w:val="20"/>
                <w:lang w:eastAsia="sk-SK"/>
              </w:rPr>
              <w:t>8 253 €</w:t>
            </w:r>
          </w:p>
        </w:tc>
      </w:tr>
    </w:tbl>
    <w:p w14:paraId="5CD011F3" w14:textId="77777777" w:rsidR="006979E8" w:rsidRDefault="006979E8" w:rsidP="006979E8">
      <w:pPr>
        <w:spacing w:before="120" w:after="120"/>
        <w:rPr>
          <w:highlight w:val="yellow"/>
        </w:rPr>
      </w:pPr>
    </w:p>
    <w:p w14:paraId="57402AF3" w14:textId="2A20C284" w:rsidR="006979E8" w:rsidRDefault="006979E8" w:rsidP="004E1ED8">
      <w:pPr>
        <w:spacing w:before="120" w:after="120"/>
        <w:rPr>
          <w:highlight w:val="yellow"/>
        </w:rPr>
      </w:pPr>
    </w:p>
    <w:p w14:paraId="45D312CD" w14:textId="77777777" w:rsidR="002B49A0" w:rsidRDefault="002B49A0" w:rsidP="004E1ED8">
      <w:pPr>
        <w:spacing w:before="120" w:after="120"/>
        <w:rPr>
          <w:highlight w:val="yellow"/>
        </w:rPr>
      </w:pPr>
    </w:p>
    <w:p w14:paraId="497F85C2" w14:textId="25698D6B" w:rsidR="003F633E" w:rsidRPr="00EE2892" w:rsidRDefault="003F633E" w:rsidP="003F633E">
      <w:pPr>
        <w:spacing w:before="120" w:after="120" w:line="276" w:lineRule="auto"/>
        <w:rPr>
          <w:i/>
          <w:iCs/>
        </w:rPr>
      </w:pPr>
      <w:r w:rsidRPr="00EE2892">
        <w:rPr>
          <w:rFonts w:cstheme="minorHAnsi"/>
          <w:i/>
          <w:iCs/>
        </w:rPr>
        <w:lastRenderedPageBreak/>
        <w:t xml:space="preserve">Tab. </w:t>
      </w:r>
      <w:r w:rsidR="00EE2892" w:rsidRPr="00EE2892">
        <w:rPr>
          <w:rFonts w:cstheme="minorHAnsi"/>
          <w:i/>
          <w:iCs/>
        </w:rPr>
        <w:t>2</w:t>
      </w:r>
      <w:r w:rsidR="009D46B3">
        <w:rPr>
          <w:rFonts w:cstheme="minorHAnsi"/>
          <w:i/>
          <w:iCs/>
        </w:rPr>
        <w:t>8</w:t>
      </w:r>
      <w:r w:rsidRPr="00EE2892">
        <w:rPr>
          <w:rFonts w:cstheme="minorHAnsi"/>
          <w:i/>
          <w:iCs/>
        </w:rPr>
        <w:t>:  Celkové n</w:t>
      </w:r>
      <w:r w:rsidRPr="00EE2892">
        <w:rPr>
          <w:rFonts w:cstheme="minorHAnsi"/>
          <w:i/>
          <w:iCs/>
          <w:color w:val="000000"/>
          <w:lang w:eastAsia="sk-SK"/>
        </w:rPr>
        <w:t>áklady na obnovu</w:t>
      </w:r>
      <w:r w:rsidR="00EE2892">
        <w:rPr>
          <w:rFonts w:cstheme="minorHAnsi"/>
          <w:i/>
          <w:iCs/>
          <w:color w:val="000000"/>
          <w:lang w:eastAsia="sk-SK"/>
        </w:rPr>
        <w:t xml:space="preserve"> pre jednotlivé varianty obnovy</w:t>
      </w:r>
    </w:p>
    <w:tbl>
      <w:tblPr>
        <w:tblW w:w="9081" w:type="dxa"/>
        <w:tblInd w:w="-15" w:type="dxa"/>
        <w:tblCellMar>
          <w:left w:w="70" w:type="dxa"/>
          <w:right w:w="70" w:type="dxa"/>
        </w:tblCellMar>
        <w:tblLook w:val="04A0" w:firstRow="1" w:lastRow="0" w:firstColumn="1" w:lastColumn="0" w:noHBand="0" w:noVBand="1"/>
      </w:tblPr>
      <w:tblGrid>
        <w:gridCol w:w="918"/>
        <w:gridCol w:w="907"/>
        <w:gridCol w:w="907"/>
        <w:gridCol w:w="907"/>
        <w:gridCol w:w="907"/>
        <w:gridCol w:w="907"/>
        <w:gridCol w:w="907"/>
        <w:gridCol w:w="907"/>
        <w:gridCol w:w="907"/>
        <w:gridCol w:w="907"/>
      </w:tblGrid>
      <w:tr w:rsidR="00644009" w:rsidRPr="0011637D" w14:paraId="0C7E4CA4" w14:textId="77777777" w:rsidTr="003F633E">
        <w:trPr>
          <w:trHeight w:val="499"/>
        </w:trPr>
        <w:tc>
          <w:tcPr>
            <w:tcW w:w="918" w:type="dxa"/>
            <w:vMerge w:val="restart"/>
            <w:tcBorders>
              <w:top w:val="single" w:sz="12" w:space="0" w:color="auto"/>
              <w:left w:val="single" w:sz="12" w:space="0" w:color="auto"/>
              <w:bottom w:val="single" w:sz="4" w:space="0" w:color="auto"/>
              <w:right w:val="single" w:sz="12" w:space="0" w:color="auto"/>
            </w:tcBorders>
            <w:shd w:val="clear" w:color="000000" w:fill="FFFFFF"/>
            <w:noWrap/>
            <w:vAlign w:val="bottom"/>
            <w:hideMark/>
          </w:tcPr>
          <w:p w14:paraId="5B6FE948"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 </w:t>
            </w:r>
          </w:p>
        </w:tc>
        <w:tc>
          <w:tcPr>
            <w:tcW w:w="2721" w:type="dxa"/>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6F555368"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RD_M</w:t>
            </w:r>
          </w:p>
        </w:tc>
        <w:tc>
          <w:tcPr>
            <w:tcW w:w="2721" w:type="dxa"/>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376DBE55"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RD_S</w:t>
            </w:r>
          </w:p>
        </w:tc>
        <w:tc>
          <w:tcPr>
            <w:tcW w:w="2721" w:type="dxa"/>
            <w:gridSpan w:val="3"/>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14:paraId="082B9EF8"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RD_V</w:t>
            </w:r>
          </w:p>
        </w:tc>
      </w:tr>
      <w:tr w:rsidR="003F633E" w:rsidRPr="0011637D" w14:paraId="54C313D8" w14:textId="77777777" w:rsidTr="003F633E">
        <w:trPr>
          <w:trHeight w:val="645"/>
        </w:trPr>
        <w:tc>
          <w:tcPr>
            <w:tcW w:w="918" w:type="dxa"/>
            <w:vMerge/>
            <w:tcBorders>
              <w:top w:val="single" w:sz="8" w:space="0" w:color="auto"/>
              <w:left w:val="single" w:sz="12" w:space="0" w:color="auto"/>
              <w:bottom w:val="single" w:sz="12" w:space="0" w:color="auto"/>
              <w:right w:val="single" w:sz="12" w:space="0" w:color="auto"/>
            </w:tcBorders>
            <w:vAlign w:val="center"/>
            <w:hideMark/>
          </w:tcPr>
          <w:p w14:paraId="644EDA10" w14:textId="77777777" w:rsidR="0011637D" w:rsidRPr="0011637D" w:rsidRDefault="0011637D" w:rsidP="0011637D">
            <w:pPr>
              <w:spacing w:after="0" w:line="240" w:lineRule="auto"/>
              <w:rPr>
                <w:rFonts w:ascii="Calibri" w:eastAsia="Times New Roman" w:hAnsi="Calibri" w:cs="Calibri"/>
                <w:color w:val="000000"/>
                <w:sz w:val="18"/>
                <w:szCs w:val="18"/>
                <w:lang w:eastAsia="sk-SK"/>
              </w:rPr>
            </w:pPr>
          </w:p>
        </w:tc>
        <w:tc>
          <w:tcPr>
            <w:tcW w:w="907"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14:paraId="40107147"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TOB</w:t>
            </w:r>
          </w:p>
        </w:tc>
        <w:tc>
          <w:tcPr>
            <w:tcW w:w="907" w:type="dxa"/>
            <w:tcBorders>
              <w:top w:val="single" w:sz="12" w:space="0" w:color="auto"/>
              <w:left w:val="nil"/>
              <w:bottom w:val="single" w:sz="12" w:space="0" w:color="auto"/>
              <w:right w:val="nil"/>
            </w:tcBorders>
            <w:shd w:val="clear" w:color="000000" w:fill="FFFFFF"/>
            <w:vAlign w:val="center"/>
            <w:hideMark/>
          </w:tcPr>
          <w:p w14:paraId="51D685FC"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Zdroj energie</w:t>
            </w:r>
          </w:p>
        </w:tc>
        <w:tc>
          <w:tcPr>
            <w:tcW w:w="907"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14:paraId="2DDF028B" w14:textId="64EBA19E" w:rsidR="0011637D" w:rsidRPr="0011637D" w:rsidRDefault="0011637D" w:rsidP="0011637D">
            <w:pPr>
              <w:spacing w:after="0" w:line="240" w:lineRule="auto"/>
              <w:jc w:val="center"/>
              <w:rPr>
                <w:rFonts w:ascii="Calibri" w:eastAsia="Times New Roman" w:hAnsi="Calibri" w:cs="Calibri"/>
                <w:b/>
                <w:bCs/>
                <w:color w:val="000000"/>
                <w:sz w:val="18"/>
                <w:szCs w:val="18"/>
                <w:lang w:eastAsia="sk-SK"/>
              </w:rPr>
            </w:pPr>
            <w:r w:rsidRPr="0011637D">
              <w:rPr>
                <w:rFonts w:ascii="Calibri" w:eastAsia="Times New Roman" w:hAnsi="Calibri" w:cs="Calibri"/>
                <w:b/>
                <w:bCs/>
                <w:color w:val="000000"/>
                <w:sz w:val="18"/>
                <w:szCs w:val="18"/>
                <w:lang w:eastAsia="sk-SK"/>
              </w:rPr>
              <w:t xml:space="preserve">Celkovo              </w:t>
            </w:r>
            <w:r w:rsidR="00EE2892">
              <w:rPr>
                <w:rFonts w:ascii="Calibri" w:eastAsia="Times New Roman" w:hAnsi="Calibri" w:cs="Calibri"/>
                <w:b/>
                <w:bCs/>
                <w:color w:val="000000"/>
                <w:sz w:val="18"/>
                <w:szCs w:val="18"/>
                <w:lang w:eastAsia="sk-SK"/>
              </w:rPr>
              <w:t xml:space="preserve">   </w:t>
            </w:r>
            <w:r w:rsidRPr="0011637D">
              <w:rPr>
                <w:rFonts w:ascii="Calibri" w:eastAsia="Times New Roman" w:hAnsi="Calibri" w:cs="Calibri"/>
                <w:b/>
                <w:bCs/>
                <w:color w:val="000000"/>
                <w:sz w:val="18"/>
                <w:szCs w:val="18"/>
                <w:lang w:eastAsia="sk-SK"/>
              </w:rPr>
              <w:t>(+projekt)</w:t>
            </w:r>
          </w:p>
        </w:tc>
        <w:tc>
          <w:tcPr>
            <w:tcW w:w="907"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14:paraId="5F715AD9"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TOB</w:t>
            </w:r>
          </w:p>
        </w:tc>
        <w:tc>
          <w:tcPr>
            <w:tcW w:w="907" w:type="dxa"/>
            <w:tcBorders>
              <w:top w:val="single" w:sz="12" w:space="0" w:color="auto"/>
              <w:left w:val="nil"/>
              <w:bottom w:val="single" w:sz="12" w:space="0" w:color="auto"/>
              <w:right w:val="nil"/>
            </w:tcBorders>
            <w:shd w:val="clear" w:color="000000" w:fill="FFFFFF"/>
            <w:vAlign w:val="center"/>
            <w:hideMark/>
          </w:tcPr>
          <w:p w14:paraId="1AB71432"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Zdroj energie</w:t>
            </w:r>
          </w:p>
        </w:tc>
        <w:tc>
          <w:tcPr>
            <w:tcW w:w="907"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14:paraId="7C8E8213" w14:textId="2A94E7D7" w:rsidR="0011637D" w:rsidRPr="0011637D" w:rsidRDefault="0011637D" w:rsidP="0011637D">
            <w:pPr>
              <w:spacing w:after="0" w:line="240" w:lineRule="auto"/>
              <w:jc w:val="center"/>
              <w:rPr>
                <w:rFonts w:ascii="Calibri" w:eastAsia="Times New Roman" w:hAnsi="Calibri" w:cs="Calibri"/>
                <w:b/>
                <w:bCs/>
                <w:color w:val="000000"/>
                <w:sz w:val="18"/>
                <w:szCs w:val="18"/>
                <w:lang w:eastAsia="sk-SK"/>
              </w:rPr>
            </w:pPr>
            <w:r w:rsidRPr="0011637D">
              <w:rPr>
                <w:rFonts w:ascii="Calibri" w:eastAsia="Times New Roman" w:hAnsi="Calibri" w:cs="Calibri"/>
                <w:b/>
                <w:bCs/>
                <w:color w:val="000000"/>
                <w:sz w:val="18"/>
                <w:szCs w:val="18"/>
                <w:lang w:eastAsia="sk-SK"/>
              </w:rPr>
              <w:t>Celkovo                 (+</w:t>
            </w:r>
            <w:r w:rsidR="00EE2892">
              <w:rPr>
                <w:rFonts w:ascii="Calibri" w:eastAsia="Times New Roman" w:hAnsi="Calibri" w:cs="Calibri"/>
                <w:b/>
                <w:bCs/>
                <w:color w:val="000000"/>
                <w:sz w:val="18"/>
                <w:szCs w:val="18"/>
                <w:lang w:eastAsia="sk-SK"/>
              </w:rPr>
              <w:t>p</w:t>
            </w:r>
            <w:r w:rsidRPr="0011637D">
              <w:rPr>
                <w:rFonts w:ascii="Calibri" w:eastAsia="Times New Roman" w:hAnsi="Calibri" w:cs="Calibri"/>
                <w:b/>
                <w:bCs/>
                <w:color w:val="000000"/>
                <w:sz w:val="18"/>
                <w:szCs w:val="18"/>
                <w:lang w:eastAsia="sk-SK"/>
              </w:rPr>
              <w:t>rojekt)</w:t>
            </w:r>
          </w:p>
        </w:tc>
        <w:tc>
          <w:tcPr>
            <w:tcW w:w="907" w:type="dxa"/>
            <w:tcBorders>
              <w:top w:val="single" w:sz="12" w:space="0" w:color="auto"/>
              <w:left w:val="single" w:sz="12" w:space="0" w:color="auto"/>
              <w:bottom w:val="single" w:sz="12" w:space="0" w:color="auto"/>
              <w:right w:val="single" w:sz="4" w:space="0" w:color="auto"/>
            </w:tcBorders>
            <w:shd w:val="clear" w:color="000000" w:fill="FFFFFF"/>
            <w:noWrap/>
            <w:vAlign w:val="center"/>
            <w:hideMark/>
          </w:tcPr>
          <w:p w14:paraId="022110C9"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TOB</w:t>
            </w:r>
          </w:p>
        </w:tc>
        <w:tc>
          <w:tcPr>
            <w:tcW w:w="907" w:type="dxa"/>
            <w:tcBorders>
              <w:top w:val="single" w:sz="12" w:space="0" w:color="auto"/>
              <w:left w:val="nil"/>
              <w:bottom w:val="single" w:sz="12" w:space="0" w:color="auto"/>
              <w:right w:val="nil"/>
            </w:tcBorders>
            <w:shd w:val="clear" w:color="000000" w:fill="FFFFFF"/>
            <w:vAlign w:val="center"/>
            <w:hideMark/>
          </w:tcPr>
          <w:p w14:paraId="498DA87D" w14:textId="77777777" w:rsidR="0011637D" w:rsidRPr="0011637D" w:rsidRDefault="0011637D" w:rsidP="0011637D">
            <w:pPr>
              <w:spacing w:after="0" w:line="240" w:lineRule="auto"/>
              <w:jc w:val="center"/>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Zdroj energie</w:t>
            </w:r>
          </w:p>
        </w:tc>
        <w:tc>
          <w:tcPr>
            <w:tcW w:w="907" w:type="dxa"/>
            <w:tcBorders>
              <w:top w:val="single" w:sz="12" w:space="0" w:color="auto"/>
              <w:left w:val="single" w:sz="8" w:space="0" w:color="auto"/>
              <w:bottom w:val="single" w:sz="12" w:space="0" w:color="auto"/>
              <w:right w:val="single" w:sz="12" w:space="0" w:color="auto"/>
            </w:tcBorders>
            <w:shd w:val="clear" w:color="000000" w:fill="FFFFFF"/>
            <w:vAlign w:val="center"/>
            <w:hideMark/>
          </w:tcPr>
          <w:p w14:paraId="5A85A977" w14:textId="2D8EEABD" w:rsidR="0011637D" w:rsidRPr="0011637D" w:rsidRDefault="0011637D" w:rsidP="0011637D">
            <w:pPr>
              <w:spacing w:after="0" w:line="240" w:lineRule="auto"/>
              <w:jc w:val="center"/>
              <w:rPr>
                <w:rFonts w:ascii="Calibri" w:eastAsia="Times New Roman" w:hAnsi="Calibri" w:cs="Calibri"/>
                <w:b/>
                <w:bCs/>
                <w:color w:val="000000"/>
                <w:sz w:val="18"/>
                <w:szCs w:val="18"/>
                <w:lang w:eastAsia="sk-SK"/>
              </w:rPr>
            </w:pPr>
            <w:r w:rsidRPr="0011637D">
              <w:rPr>
                <w:rFonts w:ascii="Calibri" w:eastAsia="Times New Roman" w:hAnsi="Calibri" w:cs="Calibri"/>
                <w:b/>
                <w:bCs/>
                <w:color w:val="000000"/>
                <w:sz w:val="18"/>
                <w:szCs w:val="18"/>
                <w:lang w:eastAsia="sk-SK"/>
              </w:rPr>
              <w:t>Celkovo              (+projekt)</w:t>
            </w:r>
          </w:p>
        </w:tc>
      </w:tr>
      <w:tr w:rsidR="002B49A0" w:rsidRPr="0011637D" w14:paraId="6484C04A" w14:textId="77777777" w:rsidTr="003F633E">
        <w:trPr>
          <w:trHeight w:val="499"/>
        </w:trPr>
        <w:tc>
          <w:tcPr>
            <w:tcW w:w="91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5ADD2899"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RD_P1-O1</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716B5B55" w14:textId="515498FE"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11 385 €</w:t>
            </w:r>
          </w:p>
        </w:tc>
        <w:tc>
          <w:tcPr>
            <w:tcW w:w="907" w:type="dxa"/>
            <w:tcBorders>
              <w:top w:val="single" w:sz="12" w:space="0" w:color="auto"/>
              <w:left w:val="nil"/>
              <w:bottom w:val="single" w:sz="4" w:space="0" w:color="auto"/>
              <w:right w:val="nil"/>
            </w:tcBorders>
            <w:shd w:val="clear" w:color="000000" w:fill="FFFFFF"/>
            <w:noWrap/>
            <w:vAlign w:val="center"/>
            <w:hideMark/>
          </w:tcPr>
          <w:p w14:paraId="3E9BBF58" w14:textId="46DF06D7"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4 892 €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7808695C" w14:textId="730A284A"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17 277 €</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75BED8D1" w14:textId="2D9704F4"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15 364 €</w:t>
            </w:r>
          </w:p>
        </w:tc>
        <w:tc>
          <w:tcPr>
            <w:tcW w:w="907" w:type="dxa"/>
            <w:tcBorders>
              <w:top w:val="single" w:sz="12" w:space="0" w:color="auto"/>
              <w:left w:val="nil"/>
              <w:bottom w:val="single" w:sz="4" w:space="0" w:color="auto"/>
              <w:right w:val="nil"/>
            </w:tcBorders>
            <w:shd w:val="clear" w:color="000000" w:fill="FFFFFF"/>
            <w:noWrap/>
            <w:vAlign w:val="center"/>
            <w:hideMark/>
          </w:tcPr>
          <w:p w14:paraId="3590C76E" w14:textId="13023826"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4 892 €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0E3FAA65" w14:textId="05D70DF1"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21 256 €</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3B789997" w14:textId="481CA1E5"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21 412 €</w:t>
            </w:r>
          </w:p>
        </w:tc>
        <w:tc>
          <w:tcPr>
            <w:tcW w:w="907" w:type="dxa"/>
            <w:tcBorders>
              <w:top w:val="single" w:sz="12" w:space="0" w:color="auto"/>
              <w:left w:val="nil"/>
              <w:bottom w:val="single" w:sz="4" w:space="0" w:color="auto"/>
              <w:right w:val="nil"/>
            </w:tcBorders>
            <w:shd w:val="clear" w:color="000000" w:fill="FFFFFF"/>
            <w:noWrap/>
            <w:vAlign w:val="center"/>
            <w:hideMark/>
          </w:tcPr>
          <w:p w14:paraId="1CA918D7" w14:textId="5E205319"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5 042 €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1E2AA18F" w14:textId="1D2F7BB4"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27 454 €</w:t>
            </w:r>
          </w:p>
        </w:tc>
      </w:tr>
      <w:tr w:rsidR="002B49A0" w:rsidRPr="0011637D" w14:paraId="5E36BD80" w14:textId="77777777" w:rsidTr="003F633E">
        <w:trPr>
          <w:trHeight w:val="499"/>
        </w:trPr>
        <w:tc>
          <w:tcPr>
            <w:tcW w:w="918" w:type="dxa"/>
            <w:tcBorders>
              <w:top w:val="nil"/>
              <w:left w:val="single" w:sz="12" w:space="0" w:color="auto"/>
              <w:bottom w:val="single" w:sz="4" w:space="0" w:color="auto"/>
              <w:right w:val="single" w:sz="12" w:space="0" w:color="auto"/>
            </w:tcBorders>
            <w:shd w:val="clear" w:color="000000" w:fill="FFFFFF"/>
            <w:vAlign w:val="center"/>
            <w:hideMark/>
          </w:tcPr>
          <w:p w14:paraId="53D1D2D0"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RD_P1-O2</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33916009" w14:textId="1C5DE0FB"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11 385 €</w:t>
            </w:r>
          </w:p>
        </w:tc>
        <w:tc>
          <w:tcPr>
            <w:tcW w:w="907" w:type="dxa"/>
            <w:tcBorders>
              <w:top w:val="nil"/>
              <w:left w:val="nil"/>
              <w:bottom w:val="single" w:sz="4" w:space="0" w:color="auto"/>
              <w:right w:val="nil"/>
            </w:tcBorders>
            <w:shd w:val="clear" w:color="000000" w:fill="FFFFFF"/>
            <w:noWrap/>
            <w:vAlign w:val="center"/>
            <w:hideMark/>
          </w:tcPr>
          <w:p w14:paraId="6B1E1761" w14:textId="2CFF7FE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7 553 €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7C73C378" w14:textId="4DC07A3D"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19 938 €</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001ECDB5" w14:textId="61630802"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15 364 €</w:t>
            </w:r>
          </w:p>
        </w:tc>
        <w:tc>
          <w:tcPr>
            <w:tcW w:w="907" w:type="dxa"/>
            <w:tcBorders>
              <w:top w:val="nil"/>
              <w:left w:val="nil"/>
              <w:bottom w:val="single" w:sz="4" w:space="0" w:color="auto"/>
              <w:right w:val="nil"/>
            </w:tcBorders>
            <w:shd w:val="clear" w:color="000000" w:fill="FFFFFF"/>
            <w:noWrap/>
            <w:vAlign w:val="center"/>
            <w:hideMark/>
          </w:tcPr>
          <w:p w14:paraId="38C636A7" w14:textId="6FAC5188"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8 253 €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272B6A5B" w14:textId="3FE586DE"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24 617 €</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479BE413" w14:textId="6BC950F8"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21 412 €</w:t>
            </w:r>
          </w:p>
        </w:tc>
        <w:tc>
          <w:tcPr>
            <w:tcW w:w="907" w:type="dxa"/>
            <w:tcBorders>
              <w:top w:val="nil"/>
              <w:left w:val="nil"/>
              <w:bottom w:val="single" w:sz="4" w:space="0" w:color="auto"/>
              <w:right w:val="nil"/>
            </w:tcBorders>
            <w:shd w:val="clear" w:color="000000" w:fill="FFFFFF"/>
            <w:noWrap/>
            <w:vAlign w:val="center"/>
            <w:hideMark/>
          </w:tcPr>
          <w:p w14:paraId="42897D86" w14:textId="5D09C5AC"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9 753 €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2FA1689B" w14:textId="73541F6E"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32 165 €</w:t>
            </w:r>
          </w:p>
        </w:tc>
      </w:tr>
      <w:tr w:rsidR="002B49A0" w:rsidRPr="0011637D" w14:paraId="21236B55" w14:textId="77777777" w:rsidTr="003F633E">
        <w:trPr>
          <w:trHeight w:val="499"/>
        </w:trPr>
        <w:tc>
          <w:tcPr>
            <w:tcW w:w="918" w:type="dxa"/>
            <w:tcBorders>
              <w:top w:val="nil"/>
              <w:left w:val="single" w:sz="12" w:space="0" w:color="auto"/>
              <w:bottom w:val="single" w:sz="12" w:space="0" w:color="auto"/>
              <w:right w:val="single" w:sz="12" w:space="0" w:color="auto"/>
            </w:tcBorders>
            <w:shd w:val="clear" w:color="000000" w:fill="FFFFFF"/>
            <w:vAlign w:val="center"/>
            <w:hideMark/>
          </w:tcPr>
          <w:p w14:paraId="7510C45E"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RD_P1-O3</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1F4A476E" w14:textId="1F4E525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13 269 €</w:t>
            </w:r>
          </w:p>
        </w:tc>
        <w:tc>
          <w:tcPr>
            <w:tcW w:w="907" w:type="dxa"/>
            <w:tcBorders>
              <w:top w:val="nil"/>
              <w:left w:val="nil"/>
              <w:bottom w:val="single" w:sz="12" w:space="0" w:color="auto"/>
              <w:right w:val="nil"/>
            </w:tcBorders>
            <w:shd w:val="clear" w:color="000000" w:fill="FFFFFF"/>
            <w:noWrap/>
            <w:vAlign w:val="center"/>
            <w:hideMark/>
          </w:tcPr>
          <w:p w14:paraId="7FA31568" w14:textId="6FD58C94"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6 653 €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2E793DCE" w14:textId="1A078858"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20 922 €</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7C44C799" w14:textId="44D94B72"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18 173 €</w:t>
            </w:r>
          </w:p>
        </w:tc>
        <w:tc>
          <w:tcPr>
            <w:tcW w:w="907" w:type="dxa"/>
            <w:tcBorders>
              <w:top w:val="nil"/>
              <w:left w:val="nil"/>
              <w:bottom w:val="single" w:sz="12" w:space="0" w:color="auto"/>
              <w:right w:val="nil"/>
            </w:tcBorders>
            <w:shd w:val="clear" w:color="000000" w:fill="FFFFFF"/>
            <w:noWrap/>
            <w:vAlign w:val="center"/>
            <w:hideMark/>
          </w:tcPr>
          <w:p w14:paraId="75AA2886" w14:textId="559C4E98"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7 553 €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1BE184E8" w14:textId="145D5C46"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26 726 €</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35B4853C" w14:textId="7359B1E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25 568 €</w:t>
            </w:r>
          </w:p>
        </w:tc>
        <w:tc>
          <w:tcPr>
            <w:tcW w:w="907" w:type="dxa"/>
            <w:tcBorders>
              <w:top w:val="nil"/>
              <w:left w:val="nil"/>
              <w:bottom w:val="single" w:sz="12" w:space="0" w:color="auto"/>
              <w:right w:val="nil"/>
            </w:tcBorders>
            <w:shd w:val="clear" w:color="000000" w:fill="FFFFFF"/>
            <w:noWrap/>
            <w:vAlign w:val="center"/>
            <w:hideMark/>
          </w:tcPr>
          <w:p w14:paraId="6968172D" w14:textId="74416559"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8 253 €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594E0505" w14:textId="431B6A13"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34 821 €</w:t>
            </w:r>
          </w:p>
        </w:tc>
      </w:tr>
      <w:tr w:rsidR="002B49A0" w:rsidRPr="0011637D" w14:paraId="1076315C" w14:textId="77777777" w:rsidTr="003F633E">
        <w:trPr>
          <w:trHeight w:val="499"/>
        </w:trPr>
        <w:tc>
          <w:tcPr>
            <w:tcW w:w="91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66D95F8A"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RD_P2-O1</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3C330BCC" w14:textId="497E3E45"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11 385 €</w:t>
            </w:r>
          </w:p>
        </w:tc>
        <w:tc>
          <w:tcPr>
            <w:tcW w:w="907" w:type="dxa"/>
            <w:tcBorders>
              <w:top w:val="single" w:sz="12" w:space="0" w:color="auto"/>
              <w:left w:val="nil"/>
              <w:bottom w:val="single" w:sz="4" w:space="0" w:color="auto"/>
              <w:right w:val="nil"/>
            </w:tcBorders>
            <w:shd w:val="clear" w:color="000000" w:fill="FFFFFF"/>
            <w:noWrap/>
            <w:vAlign w:val="center"/>
            <w:hideMark/>
          </w:tcPr>
          <w:p w14:paraId="0D5862B6" w14:textId="0F9D7D11"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4 892 €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12CF8C2E" w14:textId="7DD48205"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17 277 €</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3F416CB2" w14:textId="23D6EC3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15 364 €</w:t>
            </w:r>
          </w:p>
        </w:tc>
        <w:tc>
          <w:tcPr>
            <w:tcW w:w="907" w:type="dxa"/>
            <w:tcBorders>
              <w:top w:val="single" w:sz="12" w:space="0" w:color="auto"/>
              <w:left w:val="nil"/>
              <w:bottom w:val="single" w:sz="4" w:space="0" w:color="auto"/>
              <w:right w:val="nil"/>
            </w:tcBorders>
            <w:shd w:val="clear" w:color="000000" w:fill="FFFFFF"/>
            <w:noWrap/>
            <w:vAlign w:val="center"/>
            <w:hideMark/>
          </w:tcPr>
          <w:p w14:paraId="4BF3B40B" w14:textId="077A55D5"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4 892 €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5F4ED97E" w14:textId="320CC41B"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21 256 €</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6EFAAC42" w14:textId="65E153E8"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21 412 €</w:t>
            </w:r>
          </w:p>
        </w:tc>
        <w:tc>
          <w:tcPr>
            <w:tcW w:w="907" w:type="dxa"/>
            <w:tcBorders>
              <w:top w:val="single" w:sz="12" w:space="0" w:color="auto"/>
              <w:left w:val="nil"/>
              <w:bottom w:val="single" w:sz="4" w:space="0" w:color="auto"/>
              <w:right w:val="nil"/>
            </w:tcBorders>
            <w:shd w:val="clear" w:color="000000" w:fill="FFFFFF"/>
            <w:noWrap/>
            <w:vAlign w:val="center"/>
            <w:hideMark/>
          </w:tcPr>
          <w:p w14:paraId="21AF58FD" w14:textId="56361791"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5 042 €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5EF5A2DF" w14:textId="6007790A"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27 454 €</w:t>
            </w:r>
          </w:p>
        </w:tc>
      </w:tr>
      <w:tr w:rsidR="002B49A0" w:rsidRPr="0011637D" w14:paraId="2C450C3A" w14:textId="77777777" w:rsidTr="003F633E">
        <w:trPr>
          <w:trHeight w:val="499"/>
        </w:trPr>
        <w:tc>
          <w:tcPr>
            <w:tcW w:w="918" w:type="dxa"/>
            <w:tcBorders>
              <w:top w:val="nil"/>
              <w:left w:val="single" w:sz="12" w:space="0" w:color="auto"/>
              <w:bottom w:val="single" w:sz="4" w:space="0" w:color="auto"/>
              <w:right w:val="single" w:sz="12" w:space="0" w:color="auto"/>
            </w:tcBorders>
            <w:shd w:val="clear" w:color="000000" w:fill="FFFFFF"/>
            <w:vAlign w:val="center"/>
            <w:hideMark/>
          </w:tcPr>
          <w:p w14:paraId="215062ED"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RD_P2-O2</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23EFE309" w14:textId="437EB574"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11 385 €</w:t>
            </w:r>
          </w:p>
        </w:tc>
        <w:tc>
          <w:tcPr>
            <w:tcW w:w="907" w:type="dxa"/>
            <w:tcBorders>
              <w:top w:val="nil"/>
              <w:left w:val="nil"/>
              <w:bottom w:val="single" w:sz="4" w:space="0" w:color="auto"/>
              <w:right w:val="nil"/>
            </w:tcBorders>
            <w:shd w:val="clear" w:color="000000" w:fill="FFFFFF"/>
            <w:noWrap/>
            <w:vAlign w:val="center"/>
            <w:hideMark/>
          </w:tcPr>
          <w:p w14:paraId="44E587F1" w14:textId="08602B99"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7 553 €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349D00D1" w14:textId="6AF33C6D"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19 938 €</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06352AB8" w14:textId="1E981428"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15 364 €</w:t>
            </w:r>
          </w:p>
        </w:tc>
        <w:tc>
          <w:tcPr>
            <w:tcW w:w="907" w:type="dxa"/>
            <w:tcBorders>
              <w:top w:val="nil"/>
              <w:left w:val="nil"/>
              <w:bottom w:val="single" w:sz="4" w:space="0" w:color="auto"/>
              <w:right w:val="nil"/>
            </w:tcBorders>
            <w:shd w:val="clear" w:color="000000" w:fill="FFFFFF"/>
            <w:noWrap/>
            <w:vAlign w:val="center"/>
            <w:hideMark/>
          </w:tcPr>
          <w:p w14:paraId="40B491B0" w14:textId="6EEE2237"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8 253 €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6A45D34B" w14:textId="5E0C8083"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24 617 €</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13C7D398" w14:textId="5EE06A11"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21 412 €</w:t>
            </w:r>
          </w:p>
        </w:tc>
        <w:tc>
          <w:tcPr>
            <w:tcW w:w="907" w:type="dxa"/>
            <w:tcBorders>
              <w:top w:val="nil"/>
              <w:left w:val="nil"/>
              <w:bottom w:val="single" w:sz="4" w:space="0" w:color="auto"/>
              <w:right w:val="nil"/>
            </w:tcBorders>
            <w:shd w:val="clear" w:color="000000" w:fill="FFFFFF"/>
            <w:noWrap/>
            <w:vAlign w:val="center"/>
            <w:hideMark/>
          </w:tcPr>
          <w:p w14:paraId="740D1E8B" w14:textId="7B2A9407"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9 753 €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3659C0C5" w14:textId="133FB269"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32 165 €</w:t>
            </w:r>
          </w:p>
        </w:tc>
      </w:tr>
      <w:tr w:rsidR="002B49A0" w:rsidRPr="0011637D" w14:paraId="35F229F6" w14:textId="77777777" w:rsidTr="003F633E">
        <w:trPr>
          <w:trHeight w:val="499"/>
        </w:trPr>
        <w:tc>
          <w:tcPr>
            <w:tcW w:w="918" w:type="dxa"/>
            <w:tcBorders>
              <w:top w:val="nil"/>
              <w:left w:val="single" w:sz="12" w:space="0" w:color="auto"/>
              <w:bottom w:val="single" w:sz="12" w:space="0" w:color="auto"/>
              <w:right w:val="single" w:sz="12" w:space="0" w:color="auto"/>
            </w:tcBorders>
            <w:shd w:val="clear" w:color="000000" w:fill="FFFFFF"/>
            <w:vAlign w:val="center"/>
            <w:hideMark/>
          </w:tcPr>
          <w:p w14:paraId="6FF2CB8F"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RD_P2-O3</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50781985" w14:textId="220BB025"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13 269 €</w:t>
            </w:r>
          </w:p>
        </w:tc>
        <w:tc>
          <w:tcPr>
            <w:tcW w:w="907" w:type="dxa"/>
            <w:tcBorders>
              <w:top w:val="nil"/>
              <w:left w:val="nil"/>
              <w:bottom w:val="single" w:sz="12" w:space="0" w:color="auto"/>
              <w:right w:val="nil"/>
            </w:tcBorders>
            <w:shd w:val="clear" w:color="000000" w:fill="FFFFFF"/>
            <w:noWrap/>
            <w:vAlign w:val="center"/>
            <w:hideMark/>
          </w:tcPr>
          <w:p w14:paraId="2A77E4CD" w14:textId="57156602"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6 653 €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54914C03" w14:textId="2C31E79D"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20 922 €</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651DEA20" w14:textId="3C7F1A2D"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18 173 €</w:t>
            </w:r>
          </w:p>
        </w:tc>
        <w:tc>
          <w:tcPr>
            <w:tcW w:w="907" w:type="dxa"/>
            <w:tcBorders>
              <w:top w:val="nil"/>
              <w:left w:val="nil"/>
              <w:bottom w:val="single" w:sz="12" w:space="0" w:color="auto"/>
              <w:right w:val="nil"/>
            </w:tcBorders>
            <w:shd w:val="clear" w:color="000000" w:fill="FFFFFF"/>
            <w:noWrap/>
            <w:vAlign w:val="center"/>
            <w:hideMark/>
          </w:tcPr>
          <w:p w14:paraId="47ABC210" w14:textId="1380BEF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7 553 €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2340C3FE" w14:textId="0FA605BB"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26 726 €</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06ABBB7F" w14:textId="1920FE90"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25 568 €</w:t>
            </w:r>
          </w:p>
        </w:tc>
        <w:tc>
          <w:tcPr>
            <w:tcW w:w="907" w:type="dxa"/>
            <w:tcBorders>
              <w:top w:val="nil"/>
              <w:left w:val="nil"/>
              <w:bottom w:val="single" w:sz="12" w:space="0" w:color="auto"/>
              <w:right w:val="nil"/>
            </w:tcBorders>
            <w:shd w:val="clear" w:color="000000" w:fill="FFFFFF"/>
            <w:noWrap/>
            <w:vAlign w:val="center"/>
            <w:hideMark/>
          </w:tcPr>
          <w:p w14:paraId="0544B0E9" w14:textId="26EF408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8 253 €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37438FD8" w14:textId="5F5368E0"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34 821 €</w:t>
            </w:r>
          </w:p>
        </w:tc>
      </w:tr>
      <w:tr w:rsidR="002B49A0" w:rsidRPr="0011637D" w14:paraId="585DC4C6" w14:textId="77777777" w:rsidTr="003F633E">
        <w:trPr>
          <w:trHeight w:val="499"/>
        </w:trPr>
        <w:tc>
          <w:tcPr>
            <w:tcW w:w="918"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264089B3"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RD_P3-O1</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4EF6EDF" w14:textId="66A4EDC9"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11 385 €</w:t>
            </w:r>
          </w:p>
        </w:tc>
        <w:tc>
          <w:tcPr>
            <w:tcW w:w="907" w:type="dxa"/>
            <w:tcBorders>
              <w:top w:val="single" w:sz="12" w:space="0" w:color="auto"/>
              <w:left w:val="nil"/>
              <w:bottom w:val="single" w:sz="4" w:space="0" w:color="auto"/>
              <w:right w:val="nil"/>
            </w:tcBorders>
            <w:shd w:val="clear" w:color="000000" w:fill="FFFFFF"/>
            <w:noWrap/>
            <w:vAlign w:val="center"/>
            <w:hideMark/>
          </w:tcPr>
          <w:p w14:paraId="407D287E" w14:textId="085033C1"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4 892 €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1C874E8E" w14:textId="6E53595B"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17 277 €</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0DDD5CD4" w14:textId="74E2CDB1"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15 364 €</w:t>
            </w:r>
          </w:p>
        </w:tc>
        <w:tc>
          <w:tcPr>
            <w:tcW w:w="907" w:type="dxa"/>
            <w:tcBorders>
              <w:top w:val="single" w:sz="12" w:space="0" w:color="auto"/>
              <w:left w:val="nil"/>
              <w:bottom w:val="single" w:sz="4" w:space="0" w:color="auto"/>
              <w:right w:val="nil"/>
            </w:tcBorders>
            <w:shd w:val="clear" w:color="000000" w:fill="FFFFFF"/>
            <w:noWrap/>
            <w:vAlign w:val="center"/>
            <w:hideMark/>
          </w:tcPr>
          <w:p w14:paraId="003EF02F" w14:textId="7D92CEA6"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4 892 €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0990F346" w14:textId="42711713"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21 256 €</w:t>
            </w:r>
          </w:p>
        </w:tc>
        <w:tc>
          <w:tcPr>
            <w:tcW w:w="907" w:type="dxa"/>
            <w:tcBorders>
              <w:top w:val="single" w:sz="12" w:space="0" w:color="auto"/>
              <w:left w:val="single" w:sz="12" w:space="0" w:color="auto"/>
              <w:bottom w:val="single" w:sz="4" w:space="0" w:color="auto"/>
              <w:right w:val="single" w:sz="4" w:space="0" w:color="auto"/>
            </w:tcBorders>
            <w:shd w:val="clear" w:color="000000" w:fill="FFFFFF"/>
            <w:noWrap/>
            <w:vAlign w:val="center"/>
            <w:hideMark/>
          </w:tcPr>
          <w:p w14:paraId="18D180C0" w14:textId="18060D11"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21 412 €</w:t>
            </w:r>
          </w:p>
        </w:tc>
        <w:tc>
          <w:tcPr>
            <w:tcW w:w="907" w:type="dxa"/>
            <w:tcBorders>
              <w:top w:val="single" w:sz="12" w:space="0" w:color="auto"/>
              <w:left w:val="nil"/>
              <w:bottom w:val="single" w:sz="4" w:space="0" w:color="auto"/>
              <w:right w:val="nil"/>
            </w:tcBorders>
            <w:shd w:val="clear" w:color="000000" w:fill="FFFFFF"/>
            <w:noWrap/>
            <w:vAlign w:val="center"/>
            <w:hideMark/>
          </w:tcPr>
          <w:p w14:paraId="38451012" w14:textId="3B79C3CC"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5 042 €</w:t>
            </w:r>
          </w:p>
        </w:tc>
        <w:tc>
          <w:tcPr>
            <w:tcW w:w="907" w:type="dxa"/>
            <w:tcBorders>
              <w:top w:val="single" w:sz="12" w:space="0" w:color="auto"/>
              <w:left w:val="single" w:sz="8" w:space="0" w:color="auto"/>
              <w:bottom w:val="single" w:sz="4" w:space="0" w:color="auto"/>
              <w:right w:val="single" w:sz="12" w:space="0" w:color="auto"/>
            </w:tcBorders>
            <w:shd w:val="clear" w:color="000000" w:fill="FFFFFF"/>
            <w:noWrap/>
            <w:vAlign w:val="center"/>
            <w:hideMark/>
          </w:tcPr>
          <w:p w14:paraId="4C865453" w14:textId="7DEEF287"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27 454 €</w:t>
            </w:r>
          </w:p>
        </w:tc>
      </w:tr>
      <w:tr w:rsidR="002B49A0" w:rsidRPr="0011637D" w14:paraId="2E9AC10A" w14:textId="77777777" w:rsidTr="003F633E">
        <w:trPr>
          <w:trHeight w:val="499"/>
        </w:trPr>
        <w:tc>
          <w:tcPr>
            <w:tcW w:w="918" w:type="dxa"/>
            <w:tcBorders>
              <w:top w:val="nil"/>
              <w:left w:val="single" w:sz="12" w:space="0" w:color="auto"/>
              <w:bottom w:val="single" w:sz="4" w:space="0" w:color="auto"/>
              <w:right w:val="single" w:sz="12" w:space="0" w:color="auto"/>
            </w:tcBorders>
            <w:shd w:val="clear" w:color="000000" w:fill="FFFFFF"/>
            <w:vAlign w:val="center"/>
            <w:hideMark/>
          </w:tcPr>
          <w:p w14:paraId="2052CADB"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RD_P3-O2</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233CEEC1" w14:textId="3AA12589"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11 385 €</w:t>
            </w:r>
          </w:p>
        </w:tc>
        <w:tc>
          <w:tcPr>
            <w:tcW w:w="907" w:type="dxa"/>
            <w:tcBorders>
              <w:top w:val="nil"/>
              <w:left w:val="nil"/>
              <w:bottom w:val="single" w:sz="4" w:space="0" w:color="auto"/>
              <w:right w:val="nil"/>
            </w:tcBorders>
            <w:shd w:val="clear" w:color="000000" w:fill="FFFFFF"/>
            <w:noWrap/>
            <w:vAlign w:val="center"/>
            <w:hideMark/>
          </w:tcPr>
          <w:p w14:paraId="73A0289E" w14:textId="060BA1A6"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7 553 €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624332AD" w14:textId="01E36056"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19 938 €</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46FC0BA9" w14:textId="3B65C844"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15 364 €</w:t>
            </w:r>
          </w:p>
        </w:tc>
        <w:tc>
          <w:tcPr>
            <w:tcW w:w="907" w:type="dxa"/>
            <w:tcBorders>
              <w:top w:val="nil"/>
              <w:left w:val="nil"/>
              <w:bottom w:val="single" w:sz="4" w:space="0" w:color="auto"/>
              <w:right w:val="nil"/>
            </w:tcBorders>
            <w:shd w:val="clear" w:color="000000" w:fill="FFFFFF"/>
            <w:noWrap/>
            <w:vAlign w:val="center"/>
            <w:hideMark/>
          </w:tcPr>
          <w:p w14:paraId="4E58330D" w14:textId="5C4C02A4"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8 253 €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28AB5FB4" w14:textId="18D747E0"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24 617 €</w:t>
            </w:r>
          </w:p>
        </w:tc>
        <w:tc>
          <w:tcPr>
            <w:tcW w:w="907" w:type="dxa"/>
            <w:tcBorders>
              <w:top w:val="nil"/>
              <w:left w:val="single" w:sz="12" w:space="0" w:color="auto"/>
              <w:bottom w:val="single" w:sz="4" w:space="0" w:color="auto"/>
              <w:right w:val="single" w:sz="4" w:space="0" w:color="auto"/>
            </w:tcBorders>
            <w:shd w:val="clear" w:color="000000" w:fill="FFFFFF"/>
            <w:noWrap/>
            <w:vAlign w:val="center"/>
            <w:hideMark/>
          </w:tcPr>
          <w:p w14:paraId="51833808" w14:textId="4212F50A"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21 412 €</w:t>
            </w:r>
          </w:p>
        </w:tc>
        <w:tc>
          <w:tcPr>
            <w:tcW w:w="907" w:type="dxa"/>
            <w:tcBorders>
              <w:top w:val="nil"/>
              <w:left w:val="nil"/>
              <w:bottom w:val="single" w:sz="4" w:space="0" w:color="auto"/>
              <w:right w:val="nil"/>
            </w:tcBorders>
            <w:shd w:val="clear" w:color="000000" w:fill="FFFFFF"/>
            <w:noWrap/>
            <w:vAlign w:val="center"/>
            <w:hideMark/>
          </w:tcPr>
          <w:p w14:paraId="32097B3A" w14:textId="3CF252BF"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9 753 €</w:t>
            </w:r>
          </w:p>
        </w:tc>
        <w:tc>
          <w:tcPr>
            <w:tcW w:w="907" w:type="dxa"/>
            <w:tcBorders>
              <w:top w:val="nil"/>
              <w:left w:val="single" w:sz="8" w:space="0" w:color="auto"/>
              <w:bottom w:val="single" w:sz="4" w:space="0" w:color="auto"/>
              <w:right w:val="single" w:sz="12" w:space="0" w:color="auto"/>
            </w:tcBorders>
            <w:shd w:val="clear" w:color="000000" w:fill="FFFFFF"/>
            <w:noWrap/>
            <w:vAlign w:val="center"/>
            <w:hideMark/>
          </w:tcPr>
          <w:p w14:paraId="30C91E43" w14:textId="11A94592"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32 165 €</w:t>
            </w:r>
          </w:p>
        </w:tc>
      </w:tr>
      <w:tr w:rsidR="002B49A0" w:rsidRPr="0011637D" w14:paraId="7ECFF797" w14:textId="77777777" w:rsidTr="003F633E">
        <w:trPr>
          <w:trHeight w:val="499"/>
        </w:trPr>
        <w:tc>
          <w:tcPr>
            <w:tcW w:w="918" w:type="dxa"/>
            <w:tcBorders>
              <w:top w:val="nil"/>
              <w:left w:val="single" w:sz="12" w:space="0" w:color="auto"/>
              <w:bottom w:val="single" w:sz="12" w:space="0" w:color="auto"/>
              <w:right w:val="single" w:sz="12" w:space="0" w:color="auto"/>
            </w:tcBorders>
            <w:shd w:val="clear" w:color="000000" w:fill="FFFFFF"/>
            <w:vAlign w:val="center"/>
            <w:hideMark/>
          </w:tcPr>
          <w:p w14:paraId="01EC682A" w14:textId="77777777" w:rsidR="002B49A0" w:rsidRPr="0011637D" w:rsidRDefault="002B49A0" w:rsidP="002B49A0">
            <w:pPr>
              <w:spacing w:after="0" w:line="240" w:lineRule="auto"/>
              <w:rPr>
                <w:rFonts w:ascii="Calibri" w:eastAsia="Times New Roman" w:hAnsi="Calibri" w:cs="Calibri"/>
                <w:color w:val="000000"/>
                <w:sz w:val="18"/>
                <w:szCs w:val="18"/>
                <w:lang w:eastAsia="sk-SK"/>
              </w:rPr>
            </w:pPr>
            <w:r w:rsidRPr="0011637D">
              <w:rPr>
                <w:rFonts w:ascii="Calibri" w:eastAsia="Times New Roman" w:hAnsi="Calibri" w:cs="Calibri"/>
                <w:color w:val="000000"/>
                <w:sz w:val="18"/>
                <w:szCs w:val="18"/>
                <w:lang w:eastAsia="sk-SK"/>
              </w:rPr>
              <w:t>RD_P3-O3</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6564CA54" w14:textId="6AD3BB5D"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13 269 €</w:t>
            </w:r>
          </w:p>
        </w:tc>
        <w:tc>
          <w:tcPr>
            <w:tcW w:w="907" w:type="dxa"/>
            <w:tcBorders>
              <w:top w:val="nil"/>
              <w:left w:val="nil"/>
              <w:bottom w:val="single" w:sz="12" w:space="0" w:color="auto"/>
              <w:right w:val="nil"/>
            </w:tcBorders>
            <w:shd w:val="clear" w:color="000000" w:fill="FFFFFF"/>
            <w:noWrap/>
            <w:vAlign w:val="center"/>
            <w:hideMark/>
          </w:tcPr>
          <w:p w14:paraId="66B2E5C3" w14:textId="25CE8F2E"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6 653 €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7825543C" w14:textId="3F29610F"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20 922 €</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4B1D7F4D" w14:textId="302217EB"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18 173 €</w:t>
            </w:r>
          </w:p>
        </w:tc>
        <w:tc>
          <w:tcPr>
            <w:tcW w:w="907" w:type="dxa"/>
            <w:tcBorders>
              <w:top w:val="nil"/>
              <w:left w:val="nil"/>
              <w:bottom w:val="single" w:sz="12" w:space="0" w:color="auto"/>
              <w:right w:val="nil"/>
            </w:tcBorders>
            <w:shd w:val="clear" w:color="000000" w:fill="FFFFFF"/>
            <w:noWrap/>
            <w:vAlign w:val="center"/>
            <w:hideMark/>
          </w:tcPr>
          <w:p w14:paraId="45A99067" w14:textId="38FBF164"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7 553 €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15159AAF" w14:textId="2180B383"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26 726 €</w:t>
            </w:r>
          </w:p>
        </w:tc>
        <w:tc>
          <w:tcPr>
            <w:tcW w:w="907" w:type="dxa"/>
            <w:tcBorders>
              <w:top w:val="nil"/>
              <w:left w:val="single" w:sz="12" w:space="0" w:color="auto"/>
              <w:bottom w:val="single" w:sz="12" w:space="0" w:color="auto"/>
              <w:right w:val="single" w:sz="4" w:space="0" w:color="auto"/>
            </w:tcBorders>
            <w:shd w:val="clear" w:color="000000" w:fill="FFFFFF"/>
            <w:noWrap/>
            <w:vAlign w:val="center"/>
            <w:hideMark/>
          </w:tcPr>
          <w:p w14:paraId="78DBE830" w14:textId="2700ABE7"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25 568 €</w:t>
            </w:r>
          </w:p>
        </w:tc>
        <w:tc>
          <w:tcPr>
            <w:tcW w:w="907" w:type="dxa"/>
            <w:tcBorders>
              <w:top w:val="nil"/>
              <w:left w:val="nil"/>
              <w:bottom w:val="single" w:sz="12" w:space="0" w:color="auto"/>
              <w:right w:val="nil"/>
            </w:tcBorders>
            <w:shd w:val="clear" w:color="000000" w:fill="FFFFFF"/>
            <w:noWrap/>
            <w:vAlign w:val="center"/>
            <w:hideMark/>
          </w:tcPr>
          <w:p w14:paraId="2767779E" w14:textId="3728610F" w:rsidR="002B49A0" w:rsidRPr="002B49A0" w:rsidRDefault="002B49A0" w:rsidP="002B49A0">
            <w:pPr>
              <w:spacing w:after="0" w:line="240" w:lineRule="auto"/>
              <w:jc w:val="center"/>
              <w:rPr>
                <w:rFonts w:eastAsia="Times New Roman" w:cstheme="minorHAnsi"/>
                <w:color w:val="000000"/>
                <w:sz w:val="18"/>
                <w:szCs w:val="18"/>
                <w:lang w:eastAsia="sk-SK"/>
              </w:rPr>
            </w:pPr>
            <w:r w:rsidRPr="002B49A0">
              <w:rPr>
                <w:rFonts w:cstheme="minorHAnsi"/>
                <w:color w:val="000000"/>
                <w:sz w:val="18"/>
                <w:szCs w:val="18"/>
              </w:rPr>
              <w:t>8 253 €</w:t>
            </w:r>
          </w:p>
        </w:tc>
        <w:tc>
          <w:tcPr>
            <w:tcW w:w="907" w:type="dxa"/>
            <w:tcBorders>
              <w:top w:val="nil"/>
              <w:left w:val="single" w:sz="8" w:space="0" w:color="auto"/>
              <w:bottom w:val="single" w:sz="12" w:space="0" w:color="auto"/>
              <w:right w:val="single" w:sz="12" w:space="0" w:color="auto"/>
            </w:tcBorders>
            <w:shd w:val="clear" w:color="000000" w:fill="FFFFFF"/>
            <w:noWrap/>
            <w:vAlign w:val="center"/>
            <w:hideMark/>
          </w:tcPr>
          <w:p w14:paraId="4764BDBE" w14:textId="28A9DCEE" w:rsidR="002B49A0" w:rsidRPr="002B49A0" w:rsidRDefault="002B49A0" w:rsidP="002B49A0">
            <w:pPr>
              <w:spacing w:after="0" w:line="240" w:lineRule="auto"/>
              <w:jc w:val="center"/>
              <w:rPr>
                <w:rFonts w:eastAsia="Times New Roman" w:cstheme="minorHAnsi"/>
                <w:b/>
                <w:bCs/>
                <w:color w:val="000000"/>
                <w:sz w:val="18"/>
                <w:szCs w:val="18"/>
                <w:lang w:eastAsia="sk-SK"/>
              </w:rPr>
            </w:pPr>
            <w:r w:rsidRPr="002B49A0">
              <w:rPr>
                <w:rFonts w:cstheme="minorHAnsi"/>
                <w:b/>
                <w:bCs/>
                <w:color w:val="000000"/>
                <w:sz w:val="18"/>
                <w:szCs w:val="18"/>
              </w:rPr>
              <w:t>34 821 €</w:t>
            </w:r>
          </w:p>
        </w:tc>
      </w:tr>
    </w:tbl>
    <w:p w14:paraId="4EE19E61" w14:textId="30644FDB" w:rsidR="0060033C" w:rsidRPr="0060033C" w:rsidRDefault="0060033C" w:rsidP="004E1ED8">
      <w:pPr>
        <w:spacing w:before="120" w:after="120"/>
        <w:rPr>
          <w:highlight w:val="yellow"/>
        </w:rPr>
      </w:pPr>
    </w:p>
    <w:p w14:paraId="6BF2E587" w14:textId="3B307581" w:rsidR="00953F2F" w:rsidRPr="003F633E" w:rsidRDefault="00953F2F" w:rsidP="004E1ED8">
      <w:pPr>
        <w:pStyle w:val="Nadpis1"/>
      </w:pPr>
      <w:bookmarkStart w:id="22" w:name="_Toc62576781"/>
      <w:r w:rsidRPr="003F633E">
        <w:t xml:space="preserve">Definovanie </w:t>
      </w:r>
      <w:r w:rsidR="005C2C3D">
        <w:t>dvoch</w:t>
      </w:r>
      <w:r w:rsidRPr="003F633E">
        <w:t xml:space="preserve"> scenárov</w:t>
      </w:r>
      <w:bookmarkEnd w:id="22"/>
      <w:r w:rsidRPr="003F633E">
        <w:t xml:space="preserve"> </w:t>
      </w:r>
    </w:p>
    <w:p w14:paraId="1CF7221B" w14:textId="25626D25" w:rsidR="00BC220C" w:rsidRDefault="00BC220C" w:rsidP="00EE2892">
      <w:pPr>
        <w:spacing w:line="276" w:lineRule="auto"/>
        <w:jc w:val="both"/>
      </w:pPr>
      <w:r>
        <w:t>Pre účely tejto štúdie je uvažovaných 27 rôznych kombinácii variantov obnovy rodinných domov. Pre čo najrealistickejšie simulovanie dopadov verejnej podpory je uvažované s</w:t>
      </w:r>
      <w:r w:rsidR="005C2C3D">
        <w:t xml:space="preserve"> dvomi </w:t>
      </w:r>
      <w:r>
        <w:t xml:space="preserve">scenármi. Každý jeden scenár pozostáva </w:t>
      </w:r>
      <w:r w:rsidR="00E320AA">
        <w:t>z</w:t>
      </w:r>
      <w:r>
        <w:t xml:space="preserve"> určitého podielu variantov úrovne obnovy. Z pohľadu deviatich úrovní obnovy je </w:t>
      </w:r>
      <w:r w:rsidR="00F72499">
        <w:t xml:space="preserve">energeticky </w:t>
      </w:r>
      <w:r>
        <w:t>najmenej a</w:t>
      </w:r>
      <w:r w:rsidR="00F72499">
        <w:t>mbiciózny P3-O1 a naopak najviac P1-O3. Pri realistickom predpoklade je zrejmé, že s obnovou v úrovni P1-O3 možno uvažovať len v nízkom počte.</w:t>
      </w:r>
    </w:p>
    <w:p w14:paraId="4E18CE63" w14:textId="4C01EFE5" w:rsidR="006D7F18" w:rsidRPr="006D7F18" w:rsidRDefault="00BC220C" w:rsidP="00EE2892">
      <w:pPr>
        <w:spacing w:line="276" w:lineRule="auto"/>
        <w:jc w:val="both"/>
      </w:pPr>
      <w:r>
        <w:t>Základný scenár uvažuje s najväčším podielom obnov v energeticky najmenej ambiciózn</w:t>
      </w:r>
      <w:r w:rsidR="00F72499">
        <w:t xml:space="preserve">ych úrovniach </w:t>
      </w:r>
      <w:r>
        <w:t xml:space="preserve"> (14 – 16 %).  </w:t>
      </w:r>
      <w:r w:rsidR="00F72499">
        <w:t>Ambiciózny scenár uvažuje s rovnomerne rozdeleným podielom do všetkých úrovní. Nasledujúca tabuľka popisuje návrh rozdelenia podielov úrovní obnov pre jednotlivé scenáre</w:t>
      </w:r>
      <w:r w:rsidR="00EE2892">
        <w:t>, podľa ktorých boli namodelované počty obnov v jednotlivých úrovniach.</w:t>
      </w:r>
    </w:p>
    <w:p w14:paraId="7430436C" w14:textId="3AE94C4B" w:rsidR="009C24CB" w:rsidRPr="00EE2892" w:rsidRDefault="007F2994" w:rsidP="007F2994">
      <w:pPr>
        <w:spacing w:before="120" w:after="120" w:line="276" w:lineRule="auto"/>
        <w:rPr>
          <w:i/>
          <w:iCs/>
        </w:rPr>
      </w:pPr>
      <w:r w:rsidRPr="00EE2892">
        <w:rPr>
          <w:rFonts w:cstheme="minorHAnsi"/>
          <w:i/>
          <w:iCs/>
        </w:rPr>
        <w:t xml:space="preserve">Tab. </w:t>
      </w:r>
      <w:r w:rsidR="00EE2892" w:rsidRPr="00EE2892">
        <w:rPr>
          <w:rFonts w:cstheme="minorHAnsi"/>
          <w:i/>
          <w:iCs/>
        </w:rPr>
        <w:t>2</w:t>
      </w:r>
      <w:r w:rsidR="009D46B3">
        <w:rPr>
          <w:rFonts w:cstheme="minorHAnsi"/>
          <w:i/>
          <w:iCs/>
        </w:rPr>
        <w:t>9</w:t>
      </w:r>
      <w:r w:rsidRPr="00EE2892">
        <w:rPr>
          <w:rFonts w:cstheme="minorHAnsi"/>
          <w:i/>
          <w:iCs/>
        </w:rPr>
        <w:t>:  Podiel úrovní obnovy v základnom scenári</w:t>
      </w:r>
    </w:p>
    <w:tbl>
      <w:tblPr>
        <w:tblW w:w="8926" w:type="dxa"/>
        <w:tblCellMar>
          <w:left w:w="70" w:type="dxa"/>
          <w:right w:w="70" w:type="dxa"/>
        </w:tblCellMar>
        <w:tblLook w:val="04A0" w:firstRow="1" w:lastRow="0" w:firstColumn="1" w:lastColumn="0" w:noHBand="0" w:noVBand="1"/>
      </w:tblPr>
      <w:tblGrid>
        <w:gridCol w:w="960"/>
        <w:gridCol w:w="2721"/>
        <w:gridCol w:w="2693"/>
        <w:gridCol w:w="2552"/>
      </w:tblGrid>
      <w:tr w:rsidR="0018553F" w:rsidRPr="0018553F" w14:paraId="426D6153" w14:textId="77777777" w:rsidTr="007F2994">
        <w:trPr>
          <w:trHeight w:val="401"/>
        </w:trPr>
        <w:tc>
          <w:tcPr>
            <w:tcW w:w="9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1310BCC" w14:textId="19E2EBDE" w:rsidR="0018553F" w:rsidRPr="0018553F" w:rsidRDefault="0018553F" w:rsidP="007F2994">
            <w:pPr>
              <w:spacing w:after="0" w:line="240" w:lineRule="auto"/>
              <w:jc w:val="center"/>
              <w:rPr>
                <w:rFonts w:ascii="Calibri" w:eastAsia="Times New Roman" w:hAnsi="Calibri" w:cs="Calibri"/>
                <w:color w:val="000000"/>
                <w:lang w:eastAsia="sk-SK"/>
              </w:rPr>
            </w:pPr>
          </w:p>
        </w:tc>
        <w:tc>
          <w:tcPr>
            <w:tcW w:w="2721"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519E33CD" w14:textId="77777777" w:rsidR="0018553F" w:rsidRPr="0018553F" w:rsidRDefault="0018553F"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O1</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3D361D22" w14:textId="77777777" w:rsidR="0018553F" w:rsidRPr="0018553F" w:rsidRDefault="0018553F"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O2</w:t>
            </w:r>
          </w:p>
        </w:tc>
        <w:tc>
          <w:tcPr>
            <w:tcW w:w="2552" w:type="dxa"/>
            <w:tcBorders>
              <w:top w:val="single" w:sz="12" w:space="0" w:color="auto"/>
              <w:left w:val="nil"/>
              <w:bottom w:val="single" w:sz="12" w:space="0" w:color="auto"/>
              <w:right w:val="single" w:sz="12" w:space="0" w:color="auto"/>
            </w:tcBorders>
            <w:shd w:val="clear" w:color="auto" w:fill="auto"/>
            <w:noWrap/>
            <w:vAlign w:val="center"/>
            <w:hideMark/>
          </w:tcPr>
          <w:p w14:paraId="6008889A" w14:textId="77777777" w:rsidR="0018553F" w:rsidRPr="0018553F" w:rsidRDefault="0018553F"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O3</w:t>
            </w:r>
          </w:p>
        </w:tc>
      </w:tr>
      <w:tr w:rsidR="0018553F" w:rsidRPr="0018553F" w14:paraId="7AFF8570" w14:textId="77777777" w:rsidTr="007F2994">
        <w:trPr>
          <w:trHeight w:val="300"/>
        </w:trPr>
        <w:tc>
          <w:tcPr>
            <w:tcW w:w="96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793B7DC6" w14:textId="77777777" w:rsidR="0018553F" w:rsidRPr="0018553F" w:rsidRDefault="0018553F"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P1</w:t>
            </w:r>
          </w:p>
        </w:tc>
        <w:tc>
          <w:tcPr>
            <w:tcW w:w="2721"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A54FFD9" w14:textId="54704CC0"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14</w:t>
            </w:r>
            <w:r w:rsidR="007F2994">
              <w:rPr>
                <w:rFonts w:ascii="Calibri" w:eastAsia="Times New Roman" w:hAnsi="Calibri" w:cs="Calibri"/>
                <w:color w:val="000000"/>
                <w:lang w:eastAsia="sk-SK"/>
              </w:rPr>
              <w:t xml:space="preserve"> %</w:t>
            </w:r>
          </w:p>
        </w:tc>
        <w:tc>
          <w:tcPr>
            <w:tcW w:w="2693" w:type="dxa"/>
            <w:tcBorders>
              <w:top w:val="single" w:sz="12" w:space="0" w:color="auto"/>
              <w:left w:val="nil"/>
              <w:bottom w:val="single" w:sz="4" w:space="0" w:color="auto"/>
              <w:right w:val="single" w:sz="4" w:space="0" w:color="auto"/>
            </w:tcBorders>
            <w:shd w:val="clear" w:color="auto" w:fill="auto"/>
            <w:noWrap/>
            <w:vAlign w:val="center"/>
            <w:hideMark/>
          </w:tcPr>
          <w:p w14:paraId="29E82FD4" w14:textId="50B496B4"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11</w:t>
            </w:r>
            <w:r w:rsidR="007F2994">
              <w:rPr>
                <w:rFonts w:ascii="Calibri" w:eastAsia="Times New Roman" w:hAnsi="Calibri" w:cs="Calibri"/>
                <w:color w:val="000000"/>
                <w:lang w:eastAsia="sk-SK"/>
              </w:rPr>
              <w:t xml:space="preserve"> %</w:t>
            </w:r>
          </w:p>
        </w:tc>
        <w:tc>
          <w:tcPr>
            <w:tcW w:w="2552" w:type="dxa"/>
            <w:tcBorders>
              <w:top w:val="single" w:sz="12" w:space="0" w:color="auto"/>
              <w:left w:val="nil"/>
              <w:bottom w:val="single" w:sz="4" w:space="0" w:color="auto"/>
              <w:right w:val="single" w:sz="12" w:space="0" w:color="auto"/>
            </w:tcBorders>
            <w:shd w:val="clear" w:color="auto" w:fill="auto"/>
            <w:noWrap/>
            <w:vAlign w:val="center"/>
            <w:hideMark/>
          </w:tcPr>
          <w:p w14:paraId="4B7FA591" w14:textId="5A5087B0"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5</w:t>
            </w:r>
            <w:r w:rsidR="007F2994">
              <w:rPr>
                <w:rFonts w:ascii="Calibri" w:eastAsia="Times New Roman" w:hAnsi="Calibri" w:cs="Calibri"/>
                <w:color w:val="000000"/>
                <w:lang w:eastAsia="sk-SK"/>
              </w:rPr>
              <w:t xml:space="preserve"> %</w:t>
            </w:r>
          </w:p>
        </w:tc>
      </w:tr>
      <w:tr w:rsidR="0018553F" w:rsidRPr="0018553F" w14:paraId="60958D81" w14:textId="77777777" w:rsidTr="007F2994">
        <w:trPr>
          <w:trHeight w:val="300"/>
        </w:trPr>
        <w:tc>
          <w:tcPr>
            <w:tcW w:w="960" w:type="dxa"/>
            <w:tcBorders>
              <w:top w:val="nil"/>
              <w:left w:val="single" w:sz="12" w:space="0" w:color="auto"/>
              <w:bottom w:val="single" w:sz="4" w:space="0" w:color="auto"/>
              <w:right w:val="single" w:sz="12" w:space="0" w:color="auto"/>
            </w:tcBorders>
            <w:shd w:val="clear" w:color="auto" w:fill="auto"/>
            <w:noWrap/>
            <w:vAlign w:val="center"/>
            <w:hideMark/>
          </w:tcPr>
          <w:p w14:paraId="37AF0AC1" w14:textId="77777777" w:rsidR="0018553F" w:rsidRPr="0018553F" w:rsidRDefault="0018553F"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P2</w:t>
            </w:r>
          </w:p>
        </w:tc>
        <w:tc>
          <w:tcPr>
            <w:tcW w:w="2721" w:type="dxa"/>
            <w:tcBorders>
              <w:top w:val="nil"/>
              <w:left w:val="single" w:sz="12" w:space="0" w:color="auto"/>
              <w:bottom w:val="single" w:sz="4" w:space="0" w:color="auto"/>
              <w:right w:val="single" w:sz="4" w:space="0" w:color="auto"/>
            </w:tcBorders>
            <w:shd w:val="clear" w:color="auto" w:fill="auto"/>
            <w:noWrap/>
            <w:vAlign w:val="center"/>
            <w:hideMark/>
          </w:tcPr>
          <w:p w14:paraId="513C6BB3" w14:textId="0E5D8A74"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15</w:t>
            </w:r>
            <w:r w:rsidR="007F2994">
              <w:rPr>
                <w:rFonts w:ascii="Calibri" w:eastAsia="Times New Roman" w:hAnsi="Calibri" w:cs="Calibri"/>
                <w:color w:val="000000"/>
                <w:lang w:eastAsia="sk-SK"/>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15FC86D9" w14:textId="7C5E767D"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12</w:t>
            </w:r>
            <w:r w:rsidR="007F2994">
              <w:rPr>
                <w:rFonts w:ascii="Calibri" w:eastAsia="Times New Roman" w:hAnsi="Calibri" w:cs="Calibri"/>
                <w:color w:val="000000"/>
                <w:lang w:eastAsia="sk-SK"/>
              </w:rPr>
              <w:t xml:space="preserve"> %</w:t>
            </w:r>
          </w:p>
        </w:tc>
        <w:tc>
          <w:tcPr>
            <w:tcW w:w="2552" w:type="dxa"/>
            <w:tcBorders>
              <w:top w:val="nil"/>
              <w:left w:val="nil"/>
              <w:bottom w:val="single" w:sz="4" w:space="0" w:color="auto"/>
              <w:right w:val="single" w:sz="12" w:space="0" w:color="auto"/>
            </w:tcBorders>
            <w:shd w:val="clear" w:color="auto" w:fill="auto"/>
            <w:noWrap/>
            <w:vAlign w:val="center"/>
            <w:hideMark/>
          </w:tcPr>
          <w:p w14:paraId="13CDFDFD" w14:textId="6118B436"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6</w:t>
            </w:r>
            <w:r w:rsidR="007F2994">
              <w:rPr>
                <w:rFonts w:ascii="Calibri" w:eastAsia="Times New Roman" w:hAnsi="Calibri" w:cs="Calibri"/>
                <w:color w:val="000000"/>
                <w:lang w:eastAsia="sk-SK"/>
              </w:rPr>
              <w:t xml:space="preserve"> %</w:t>
            </w:r>
          </w:p>
        </w:tc>
      </w:tr>
      <w:tr w:rsidR="0018553F" w:rsidRPr="0018553F" w14:paraId="6EB6E6C4" w14:textId="77777777" w:rsidTr="007F2994">
        <w:trPr>
          <w:trHeight w:val="30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64626959" w14:textId="77777777" w:rsidR="0018553F" w:rsidRPr="0018553F" w:rsidRDefault="0018553F"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P3</w:t>
            </w:r>
          </w:p>
        </w:tc>
        <w:tc>
          <w:tcPr>
            <w:tcW w:w="2721" w:type="dxa"/>
            <w:tcBorders>
              <w:top w:val="nil"/>
              <w:left w:val="single" w:sz="12" w:space="0" w:color="auto"/>
              <w:bottom w:val="single" w:sz="12" w:space="0" w:color="auto"/>
              <w:right w:val="single" w:sz="4" w:space="0" w:color="auto"/>
            </w:tcBorders>
            <w:shd w:val="clear" w:color="auto" w:fill="auto"/>
            <w:noWrap/>
            <w:vAlign w:val="center"/>
            <w:hideMark/>
          </w:tcPr>
          <w:p w14:paraId="2E707338" w14:textId="317F5986"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16</w:t>
            </w:r>
            <w:r w:rsidR="007F2994">
              <w:rPr>
                <w:rFonts w:ascii="Calibri" w:eastAsia="Times New Roman" w:hAnsi="Calibri" w:cs="Calibri"/>
                <w:color w:val="000000"/>
                <w:lang w:eastAsia="sk-SK"/>
              </w:rPr>
              <w:t xml:space="preserve"> %</w:t>
            </w:r>
          </w:p>
        </w:tc>
        <w:tc>
          <w:tcPr>
            <w:tcW w:w="2693" w:type="dxa"/>
            <w:tcBorders>
              <w:top w:val="nil"/>
              <w:left w:val="nil"/>
              <w:bottom w:val="single" w:sz="12" w:space="0" w:color="auto"/>
              <w:right w:val="single" w:sz="4" w:space="0" w:color="auto"/>
            </w:tcBorders>
            <w:shd w:val="clear" w:color="auto" w:fill="auto"/>
            <w:noWrap/>
            <w:vAlign w:val="center"/>
            <w:hideMark/>
          </w:tcPr>
          <w:p w14:paraId="2B00F6CC" w14:textId="1A7EF94C"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14</w:t>
            </w:r>
            <w:r w:rsidR="007F2994">
              <w:rPr>
                <w:rFonts w:ascii="Calibri" w:eastAsia="Times New Roman" w:hAnsi="Calibri" w:cs="Calibri"/>
                <w:color w:val="000000"/>
                <w:lang w:eastAsia="sk-SK"/>
              </w:rPr>
              <w:t xml:space="preserve"> %</w:t>
            </w:r>
          </w:p>
        </w:tc>
        <w:tc>
          <w:tcPr>
            <w:tcW w:w="2552" w:type="dxa"/>
            <w:tcBorders>
              <w:top w:val="nil"/>
              <w:left w:val="nil"/>
              <w:bottom w:val="single" w:sz="12" w:space="0" w:color="auto"/>
              <w:right w:val="single" w:sz="12" w:space="0" w:color="auto"/>
            </w:tcBorders>
            <w:shd w:val="clear" w:color="auto" w:fill="auto"/>
            <w:noWrap/>
            <w:vAlign w:val="center"/>
            <w:hideMark/>
          </w:tcPr>
          <w:p w14:paraId="5F08C693" w14:textId="57CE215E" w:rsidR="0018553F" w:rsidRPr="0018553F" w:rsidRDefault="0018553F" w:rsidP="007F2994">
            <w:pPr>
              <w:spacing w:after="0" w:line="240" w:lineRule="auto"/>
              <w:jc w:val="center"/>
              <w:rPr>
                <w:rFonts w:ascii="Calibri" w:eastAsia="Times New Roman" w:hAnsi="Calibri" w:cs="Calibri"/>
                <w:color w:val="000000"/>
                <w:lang w:eastAsia="sk-SK"/>
              </w:rPr>
            </w:pPr>
            <w:r w:rsidRPr="0018553F">
              <w:rPr>
                <w:rFonts w:ascii="Calibri" w:eastAsia="Times New Roman" w:hAnsi="Calibri" w:cs="Calibri"/>
                <w:color w:val="000000"/>
                <w:lang w:eastAsia="sk-SK"/>
              </w:rPr>
              <w:t>7</w:t>
            </w:r>
            <w:r w:rsidR="007F2994">
              <w:rPr>
                <w:rFonts w:ascii="Calibri" w:eastAsia="Times New Roman" w:hAnsi="Calibri" w:cs="Calibri"/>
                <w:color w:val="000000"/>
                <w:lang w:eastAsia="sk-SK"/>
              </w:rPr>
              <w:t xml:space="preserve"> %</w:t>
            </w:r>
          </w:p>
        </w:tc>
      </w:tr>
    </w:tbl>
    <w:p w14:paraId="58C46583" w14:textId="017745D5" w:rsidR="003271B1" w:rsidRDefault="003271B1" w:rsidP="009C24CB"/>
    <w:p w14:paraId="517D5E91" w14:textId="015CFAAA" w:rsidR="002B49A0" w:rsidRDefault="002B49A0" w:rsidP="007F2994">
      <w:pPr>
        <w:spacing w:before="120" w:after="120" w:line="276" w:lineRule="auto"/>
        <w:rPr>
          <w:rFonts w:cstheme="minorHAnsi"/>
          <w:i/>
          <w:iCs/>
        </w:rPr>
      </w:pPr>
    </w:p>
    <w:p w14:paraId="6708F065" w14:textId="77777777" w:rsidR="005C2C3D" w:rsidRDefault="005C2C3D" w:rsidP="007F2994">
      <w:pPr>
        <w:spacing w:before="120" w:after="120" w:line="276" w:lineRule="auto"/>
        <w:rPr>
          <w:rFonts w:cstheme="minorHAnsi"/>
          <w:i/>
          <w:iCs/>
        </w:rPr>
      </w:pPr>
    </w:p>
    <w:p w14:paraId="6514A98B" w14:textId="225279A2" w:rsidR="007F2994" w:rsidRPr="00EE2892" w:rsidRDefault="007F2994" w:rsidP="007F2994">
      <w:pPr>
        <w:spacing w:before="120" w:after="120" w:line="276" w:lineRule="auto"/>
        <w:rPr>
          <w:i/>
          <w:iCs/>
        </w:rPr>
      </w:pPr>
      <w:r w:rsidRPr="00EE2892">
        <w:rPr>
          <w:rFonts w:cstheme="minorHAnsi"/>
          <w:i/>
          <w:iCs/>
        </w:rPr>
        <w:lastRenderedPageBreak/>
        <w:t xml:space="preserve">Tab. </w:t>
      </w:r>
      <w:r w:rsidR="009D46B3">
        <w:rPr>
          <w:rFonts w:cstheme="minorHAnsi"/>
          <w:i/>
          <w:iCs/>
        </w:rPr>
        <w:t>30</w:t>
      </w:r>
      <w:r w:rsidRPr="00EE2892">
        <w:rPr>
          <w:rFonts w:cstheme="minorHAnsi"/>
          <w:i/>
          <w:iCs/>
        </w:rPr>
        <w:t>:  Podiel úrovní obnovy v ambicióznom scenári</w:t>
      </w:r>
    </w:p>
    <w:tbl>
      <w:tblPr>
        <w:tblW w:w="8926" w:type="dxa"/>
        <w:tblCellMar>
          <w:left w:w="70" w:type="dxa"/>
          <w:right w:w="70" w:type="dxa"/>
        </w:tblCellMar>
        <w:tblLook w:val="04A0" w:firstRow="1" w:lastRow="0" w:firstColumn="1" w:lastColumn="0" w:noHBand="0" w:noVBand="1"/>
      </w:tblPr>
      <w:tblGrid>
        <w:gridCol w:w="960"/>
        <w:gridCol w:w="2721"/>
        <w:gridCol w:w="2693"/>
        <w:gridCol w:w="2552"/>
      </w:tblGrid>
      <w:tr w:rsidR="007F2994" w:rsidRPr="0018553F" w14:paraId="22CF4DF0" w14:textId="77777777" w:rsidTr="007F2994">
        <w:trPr>
          <w:trHeight w:val="401"/>
        </w:trPr>
        <w:tc>
          <w:tcPr>
            <w:tcW w:w="96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4B93234" w14:textId="77777777" w:rsidR="007F2994" w:rsidRPr="0018553F" w:rsidRDefault="007F2994" w:rsidP="007F2994">
            <w:pPr>
              <w:spacing w:after="0" w:line="240" w:lineRule="auto"/>
              <w:jc w:val="center"/>
              <w:rPr>
                <w:rFonts w:ascii="Calibri" w:eastAsia="Times New Roman" w:hAnsi="Calibri" w:cs="Calibri"/>
                <w:color w:val="000000"/>
                <w:lang w:eastAsia="sk-SK"/>
              </w:rPr>
            </w:pPr>
          </w:p>
        </w:tc>
        <w:tc>
          <w:tcPr>
            <w:tcW w:w="2721"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2FC7E6A2" w14:textId="77777777" w:rsidR="007F2994" w:rsidRPr="0018553F" w:rsidRDefault="007F2994"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O1</w:t>
            </w:r>
          </w:p>
        </w:tc>
        <w:tc>
          <w:tcPr>
            <w:tcW w:w="2693" w:type="dxa"/>
            <w:tcBorders>
              <w:top w:val="single" w:sz="12" w:space="0" w:color="auto"/>
              <w:left w:val="nil"/>
              <w:bottom w:val="single" w:sz="12" w:space="0" w:color="auto"/>
              <w:right w:val="single" w:sz="4" w:space="0" w:color="auto"/>
            </w:tcBorders>
            <w:shd w:val="clear" w:color="auto" w:fill="auto"/>
            <w:noWrap/>
            <w:vAlign w:val="center"/>
            <w:hideMark/>
          </w:tcPr>
          <w:p w14:paraId="22E7A45A" w14:textId="77777777" w:rsidR="007F2994" w:rsidRPr="0018553F" w:rsidRDefault="007F2994"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O2</w:t>
            </w:r>
          </w:p>
        </w:tc>
        <w:tc>
          <w:tcPr>
            <w:tcW w:w="2552" w:type="dxa"/>
            <w:tcBorders>
              <w:top w:val="single" w:sz="12" w:space="0" w:color="auto"/>
              <w:left w:val="nil"/>
              <w:bottom w:val="single" w:sz="12" w:space="0" w:color="auto"/>
              <w:right w:val="single" w:sz="12" w:space="0" w:color="auto"/>
            </w:tcBorders>
            <w:shd w:val="clear" w:color="auto" w:fill="auto"/>
            <w:noWrap/>
            <w:vAlign w:val="center"/>
            <w:hideMark/>
          </w:tcPr>
          <w:p w14:paraId="2B98DFD2" w14:textId="77777777" w:rsidR="007F2994" w:rsidRPr="0018553F" w:rsidRDefault="007F2994"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O3</w:t>
            </w:r>
          </w:p>
        </w:tc>
      </w:tr>
      <w:tr w:rsidR="007F2994" w:rsidRPr="0018553F" w14:paraId="70E6E99C" w14:textId="77777777" w:rsidTr="007F2994">
        <w:trPr>
          <w:trHeight w:val="300"/>
        </w:trPr>
        <w:tc>
          <w:tcPr>
            <w:tcW w:w="960"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05EDB114" w14:textId="77777777" w:rsidR="007F2994" w:rsidRPr="0018553F" w:rsidRDefault="007F2994"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P1</w:t>
            </w:r>
          </w:p>
        </w:tc>
        <w:tc>
          <w:tcPr>
            <w:tcW w:w="2721"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AAF0B49" w14:textId="2CFF069C"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c>
          <w:tcPr>
            <w:tcW w:w="2693" w:type="dxa"/>
            <w:tcBorders>
              <w:top w:val="single" w:sz="12" w:space="0" w:color="auto"/>
              <w:left w:val="nil"/>
              <w:bottom w:val="single" w:sz="4" w:space="0" w:color="auto"/>
              <w:right w:val="single" w:sz="4" w:space="0" w:color="auto"/>
            </w:tcBorders>
            <w:shd w:val="clear" w:color="auto" w:fill="auto"/>
            <w:noWrap/>
            <w:vAlign w:val="bottom"/>
            <w:hideMark/>
          </w:tcPr>
          <w:p w14:paraId="785099C7" w14:textId="7E797CA6"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c>
          <w:tcPr>
            <w:tcW w:w="2552" w:type="dxa"/>
            <w:tcBorders>
              <w:top w:val="single" w:sz="12" w:space="0" w:color="auto"/>
              <w:left w:val="nil"/>
              <w:bottom w:val="single" w:sz="4" w:space="0" w:color="auto"/>
              <w:right w:val="single" w:sz="12" w:space="0" w:color="auto"/>
            </w:tcBorders>
            <w:shd w:val="clear" w:color="auto" w:fill="auto"/>
            <w:noWrap/>
            <w:vAlign w:val="bottom"/>
            <w:hideMark/>
          </w:tcPr>
          <w:p w14:paraId="47285237" w14:textId="4707C6C0"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r>
      <w:tr w:rsidR="007F2994" w:rsidRPr="0018553F" w14:paraId="2FD10B18" w14:textId="77777777" w:rsidTr="007F2994">
        <w:trPr>
          <w:trHeight w:val="300"/>
        </w:trPr>
        <w:tc>
          <w:tcPr>
            <w:tcW w:w="960" w:type="dxa"/>
            <w:tcBorders>
              <w:top w:val="nil"/>
              <w:left w:val="single" w:sz="12" w:space="0" w:color="auto"/>
              <w:bottom w:val="single" w:sz="4" w:space="0" w:color="auto"/>
              <w:right w:val="single" w:sz="12" w:space="0" w:color="auto"/>
            </w:tcBorders>
            <w:shd w:val="clear" w:color="auto" w:fill="auto"/>
            <w:noWrap/>
            <w:vAlign w:val="center"/>
            <w:hideMark/>
          </w:tcPr>
          <w:p w14:paraId="659CF982" w14:textId="77777777" w:rsidR="007F2994" w:rsidRPr="0018553F" w:rsidRDefault="007F2994"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P2</w:t>
            </w:r>
          </w:p>
        </w:tc>
        <w:tc>
          <w:tcPr>
            <w:tcW w:w="2721" w:type="dxa"/>
            <w:tcBorders>
              <w:top w:val="nil"/>
              <w:left w:val="single" w:sz="12" w:space="0" w:color="auto"/>
              <w:bottom w:val="single" w:sz="4" w:space="0" w:color="auto"/>
              <w:right w:val="single" w:sz="4" w:space="0" w:color="auto"/>
            </w:tcBorders>
            <w:shd w:val="clear" w:color="auto" w:fill="auto"/>
            <w:noWrap/>
            <w:vAlign w:val="bottom"/>
            <w:hideMark/>
          </w:tcPr>
          <w:p w14:paraId="521CE989" w14:textId="69ACA802"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c>
          <w:tcPr>
            <w:tcW w:w="2693" w:type="dxa"/>
            <w:tcBorders>
              <w:top w:val="nil"/>
              <w:left w:val="nil"/>
              <w:bottom w:val="single" w:sz="4" w:space="0" w:color="auto"/>
              <w:right w:val="single" w:sz="4" w:space="0" w:color="auto"/>
            </w:tcBorders>
            <w:shd w:val="clear" w:color="auto" w:fill="auto"/>
            <w:noWrap/>
            <w:vAlign w:val="bottom"/>
            <w:hideMark/>
          </w:tcPr>
          <w:p w14:paraId="3A380988" w14:textId="1ABA75D6"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12 %</w:t>
            </w:r>
          </w:p>
        </w:tc>
        <w:tc>
          <w:tcPr>
            <w:tcW w:w="2552" w:type="dxa"/>
            <w:tcBorders>
              <w:top w:val="nil"/>
              <w:left w:val="nil"/>
              <w:bottom w:val="single" w:sz="4" w:space="0" w:color="auto"/>
              <w:right w:val="single" w:sz="12" w:space="0" w:color="auto"/>
            </w:tcBorders>
            <w:shd w:val="clear" w:color="auto" w:fill="auto"/>
            <w:noWrap/>
            <w:vAlign w:val="bottom"/>
            <w:hideMark/>
          </w:tcPr>
          <w:p w14:paraId="12D27B4E" w14:textId="61CBBB0B"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r>
      <w:tr w:rsidR="007F2994" w:rsidRPr="0018553F" w14:paraId="25B3C029" w14:textId="77777777" w:rsidTr="007F2994">
        <w:trPr>
          <w:trHeight w:val="300"/>
        </w:trPr>
        <w:tc>
          <w:tcPr>
            <w:tcW w:w="960" w:type="dxa"/>
            <w:tcBorders>
              <w:top w:val="nil"/>
              <w:left w:val="single" w:sz="12" w:space="0" w:color="auto"/>
              <w:bottom w:val="single" w:sz="12" w:space="0" w:color="auto"/>
              <w:right w:val="single" w:sz="12" w:space="0" w:color="auto"/>
            </w:tcBorders>
            <w:shd w:val="clear" w:color="auto" w:fill="auto"/>
            <w:noWrap/>
            <w:vAlign w:val="center"/>
            <w:hideMark/>
          </w:tcPr>
          <w:p w14:paraId="01A3748F" w14:textId="77777777" w:rsidR="007F2994" w:rsidRPr="0018553F" w:rsidRDefault="007F2994" w:rsidP="007F2994">
            <w:pPr>
              <w:spacing w:after="0" w:line="240" w:lineRule="auto"/>
              <w:jc w:val="center"/>
              <w:rPr>
                <w:rFonts w:ascii="Calibri" w:eastAsia="Times New Roman" w:hAnsi="Calibri" w:cs="Calibri"/>
                <w:b/>
                <w:bCs/>
                <w:color w:val="000000"/>
                <w:lang w:eastAsia="sk-SK"/>
              </w:rPr>
            </w:pPr>
            <w:r w:rsidRPr="0018553F">
              <w:rPr>
                <w:rFonts w:ascii="Calibri" w:eastAsia="Times New Roman" w:hAnsi="Calibri" w:cs="Calibri"/>
                <w:b/>
                <w:bCs/>
                <w:color w:val="000000"/>
                <w:lang w:eastAsia="sk-SK"/>
              </w:rPr>
              <w:t>P3</w:t>
            </w:r>
          </w:p>
        </w:tc>
        <w:tc>
          <w:tcPr>
            <w:tcW w:w="2721" w:type="dxa"/>
            <w:tcBorders>
              <w:top w:val="nil"/>
              <w:left w:val="single" w:sz="12" w:space="0" w:color="auto"/>
              <w:bottom w:val="single" w:sz="12" w:space="0" w:color="auto"/>
              <w:right w:val="single" w:sz="4" w:space="0" w:color="auto"/>
            </w:tcBorders>
            <w:shd w:val="clear" w:color="auto" w:fill="auto"/>
            <w:noWrap/>
            <w:vAlign w:val="bottom"/>
            <w:hideMark/>
          </w:tcPr>
          <w:p w14:paraId="76BB4772" w14:textId="2C0B3801"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c>
          <w:tcPr>
            <w:tcW w:w="2693" w:type="dxa"/>
            <w:tcBorders>
              <w:top w:val="nil"/>
              <w:left w:val="nil"/>
              <w:bottom w:val="single" w:sz="12" w:space="0" w:color="auto"/>
              <w:right w:val="single" w:sz="4" w:space="0" w:color="auto"/>
            </w:tcBorders>
            <w:shd w:val="clear" w:color="auto" w:fill="auto"/>
            <w:noWrap/>
            <w:vAlign w:val="bottom"/>
            <w:hideMark/>
          </w:tcPr>
          <w:p w14:paraId="09B0D4C8" w14:textId="10ED320B"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c>
          <w:tcPr>
            <w:tcW w:w="2552" w:type="dxa"/>
            <w:tcBorders>
              <w:top w:val="nil"/>
              <w:left w:val="nil"/>
              <w:bottom w:val="single" w:sz="12" w:space="0" w:color="auto"/>
              <w:right w:val="single" w:sz="12" w:space="0" w:color="auto"/>
            </w:tcBorders>
            <w:shd w:val="clear" w:color="auto" w:fill="auto"/>
            <w:noWrap/>
            <w:vAlign w:val="bottom"/>
            <w:hideMark/>
          </w:tcPr>
          <w:p w14:paraId="5FDFBF1E" w14:textId="525D5F37" w:rsidR="007F2994" w:rsidRPr="0018553F" w:rsidRDefault="007F2994" w:rsidP="007F2994">
            <w:pPr>
              <w:spacing w:after="0" w:line="240" w:lineRule="auto"/>
              <w:jc w:val="center"/>
              <w:rPr>
                <w:rFonts w:ascii="Calibri" w:eastAsia="Times New Roman" w:hAnsi="Calibri" w:cs="Calibri"/>
                <w:color w:val="000000"/>
                <w:lang w:eastAsia="sk-SK"/>
              </w:rPr>
            </w:pPr>
            <w:r>
              <w:rPr>
                <w:rFonts w:ascii="Calibri" w:hAnsi="Calibri" w:cs="Calibri"/>
                <w:color w:val="000000"/>
              </w:rPr>
              <w:t>11 %</w:t>
            </w:r>
          </w:p>
        </w:tc>
      </w:tr>
    </w:tbl>
    <w:p w14:paraId="57BEBDCA" w14:textId="4C108846" w:rsidR="003271B1" w:rsidRDefault="003271B1" w:rsidP="009C24CB"/>
    <w:p w14:paraId="386DA083" w14:textId="237F75AD" w:rsidR="001D7357" w:rsidRDefault="00F72499" w:rsidP="002B49A0">
      <w:pPr>
        <w:jc w:val="both"/>
      </w:pPr>
      <w:r>
        <w:t xml:space="preserve">Celkový počet obnovených rodinných domov v jednotlivých variantoch obnovy je namodelovaný tak, aby </w:t>
      </w:r>
      <w:r w:rsidR="00823D71">
        <w:t xml:space="preserve">verejná podpora dosahovala sumu 100 miliónov eur. Intenzita podpory </w:t>
      </w:r>
      <w:r w:rsidR="002B49A0">
        <w:t xml:space="preserve">je nastavená na základe motivačného princípu podpory. Úroveň O1 je podporená intenzitou 40 %, Úroveň O2 je podporená intenzitnou 45 % a úroveň O3 je podporená intenzitou 50 %. </w:t>
      </w:r>
    </w:p>
    <w:p w14:paraId="66C8CC56" w14:textId="4053EA77" w:rsidR="001D7357" w:rsidRDefault="001D7357" w:rsidP="009C24CB"/>
    <w:p w14:paraId="6E56AE4B" w14:textId="1F88B205" w:rsidR="001D7357" w:rsidRDefault="001D7357" w:rsidP="009C24CB"/>
    <w:p w14:paraId="5A223F4F" w14:textId="6EE39D34" w:rsidR="002B49A0" w:rsidRDefault="002B49A0" w:rsidP="009C24CB"/>
    <w:p w14:paraId="2D12B620" w14:textId="41E1A232" w:rsidR="002B49A0" w:rsidRDefault="002B49A0" w:rsidP="009C24CB"/>
    <w:p w14:paraId="08183754" w14:textId="240F38DB" w:rsidR="002B49A0" w:rsidRDefault="002B49A0" w:rsidP="009C24CB"/>
    <w:p w14:paraId="7704EAE5" w14:textId="12B43C05" w:rsidR="002B49A0" w:rsidRDefault="002B49A0" w:rsidP="009C24CB"/>
    <w:p w14:paraId="276F43CA" w14:textId="72886A28" w:rsidR="002B49A0" w:rsidRDefault="002B49A0" w:rsidP="009C24CB"/>
    <w:p w14:paraId="765D6F33" w14:textId="797FDC4D" w:rsidR="002B49A0" w:rsidRDefault="002B49A0" w:rsidP="009C24CB"/>
    <w:p w14:paraId="39338204" w14:textId="080F99AA" w:rsidR="002B49A0" w:rsidRDefault="002B49A0" w:rsidP="009C24CB"/>
    <w:p w14:paraId="5986C9CD" w14:textId="22F89C69" w:rsidR="002B49A0" w:rsidRDefault="002B49A0" w:rsidP="009C24CB"/>
    <w:p w14:paraId="369520F1" w14:textId="121D8B41" w:rsidR="002B49A0" w:rsidRDefault="002B49A0" w:rsidP="009C24CB"/>
    <w:p w14:paraId="1273FDF4" w14:textId="06E23C1B" w:rsidR="002B49A0" w:rsidRDefault="002B49A0" w:rsidP="009C24CB"/>
    <w:p w14:paraId="30288FB5" w14:textId="1F1DD990" w:rsidR="002B49A0" w:rsidRDefault="002B49A0" w:rsidP="009C24CB"/>
    <w:p w14:paraId="573035BD" w14:textId="6F8A77FD" w:rsidR="002B49A0" w:rsidRDefault="002B49A0" w:rsidP="009C24CB"/>
    <w:p w14:paraId="2E2A0711" w14:textId="1D5DEF38" w:rsidR="002B49A0" w:rsidRDefault="002B49A0" w:rsidP="009C24CB"/>
    <w:p w14:paraId="37AEFB3B" w14:textId="77777777" w:rsidR="002B49A0" w:rsidRDefault="002B49A0" w:rsidP="009C24CB"/>
    <w:p w14:paraId="6AA065A1" w14:textId="5CFB4C13" w:rsidR="001D7357" w:rsidRDefault="001D7357" w:rsidP="009C24CB"/>
    <w:p w14:paraId="2FA26419" w14:textId="03E6DBD7" w:rsidR="005C2C3D" w:rsidRDefault="005C2C3D" w:rsidP="009C24CB"/>
    <w:p w14:paraId="4A8C88E4" w14:textId="0C6C7F1A" w:rsidR="005C2C3D" w:rsidRDefault="005C2C3D" w:rsidP="009C24CB"/>
    <w:p w14:paraId="3954CDFB" w14:textId="056EDF3E" w:rsidR="005C2C3D" w:rsidRDefault="005C2C3D" w:rsidP="009C24CB"/>
    <w:p w14:paraId="097704D3" w14:textId="77777777" w:rsidR="005C2C3D" w:rsidRDefault="005C2C3D" w:rsidP="009C24CB"/>
    <w:p w14:paraId="752404A8" w14:textId="01D386A3" w:rsidR="001D7357" w:rsidRDefault="001D7357" w:rsidP="009C24CB"/>
    <w:p w14:paraId="1A784AD0" w14:textId="5C463C32" w:rsidR="00E574F5" w:rsidRPr="00EE2892" w:rsidRDefault="00E574F5" w:rsidP="00E574F5">
      <w:pPr>
        <w:spacing w:before="120" w:after="120" w:line="276" w:lineRule="auto"/>
        <w:rPr>
          <w:i/>
          <w:iCs/>
        </w:rPr>
      </w:pPr>
      <w:r w:rsidRPr="00EE2892">
        <w:rPr>
          <w:rFonts w:cstheme="minorHAnsi"/>
          <w:i/>
          <w:iCs/>
        </w:rPr>
        <w:lastRenderedPageBreak/>
        <w:t xml:space="preserve">Tab. </w:t>
      </w:r>
      <w:r w:rsidR="009D46B3">
        <w:rPr>
          <w:rFonts w:cstheme="minorHAnsi"/>
          <w:i/>
          <w:iCs/>
        </w:rPr>
        <w:t>32</w:t>
      </w:r>
      <w:r w:rsidRPr="00EE2892">
        <w:rPr>
          <w:rFonts w:cstheme="minorHAnsi"/>
          <w:i/>
          <w:iCs/>
        </w:rPr>
        <w:t xml:space="preserve">:  Počet a podiel obnov jednotlivých variantov obnovy v daných scenároch </w:t>
      </w:r>
      <w:r w:rsidR="00BC220C" w:rsidRPr="00EE2892">
        <w:rPr>
          <w:rFonts w:cstheme="minorHAnsi"/>
          <w:i/>
          <w:iCs/>
        </w:rPr>
        <w:t xml:space="preserve">namodelovaných na </w:t>
      </w:r>
      <w:r w:rsidRPr="00EE2892">
        <w:rPr>
          <w:rFonts w:cstheme="minorHAnsi"/>
          <w:i/>
          <w:iCs/>
        </w:rPr>
        <w:t xml:space="preserve"> 100 mil. € </w:t>
      </w:r>
      <w:r w:rsidR="00BC220C" w:rsidRPr="00EE2892">
        <w:rPr>
          <w:rFonts w:cstheme="minorHAnsi"/>
          <w:i/>
          <w:iCs/>
        </w:rPr>
        <w:t xml:space="preserve">verejnej </w:t>
      </w:r>
      <w:r w:rsidRPr="00EE2892">
        <w:rPr>
          <w:rFonts w:cstheme="minorHAnsi"/>
          <w:i/>
          <w:iCs/>
        </w:rPr>
        <w:t>podpor</w:t>
      </w:r>
      <w:r w:rsidR="00BC220C" w:rsidRPr="00EE2892">
        <w:rPr>
          <w:rFonts w:cstheme="minorHAnsi"/>
          <w:i/>
          <w:iCs/>
        </w:rPr>
        <w:t>y</w:t>
      </w:r>
    </w:p>
    <w:tbl>
      <w:tblPr>
        <w:tblW w:w="8916" w:type="dxa"/>
        <w:tblCellMar>
          <w:left w:w="70" w:type="dxa"/>
          <w:right w:w="70" w:type="dxa"/>
        </w:tblCellMar>
        <w:tblLook w:val="04A0" w:firstRow="1" w:lastRow="0" w:firstColumn="1" w:lastColumn="0" w:noHBand="0" w:noVBand="1"/>
      </w:tblPr>
      <w:tblGrid>
        <w:gridCol w:w="1361"/>
        <w:gridCol w:w="1885"/>
        <w:gridCol w:w="1842"/>
        <w:gridCol w:w="1985"/>
        <w:gridCol w:w="1843"/>
      </w:tblGrid>
      <w:tr w:rsidR="005C2C3D" w:rsidRPr="007F2994" w14:paraId="2F182ECA" w14:textId="77777777" w:rsidTr="005C2C3D">
        <w:trPr>
          <w:trHeight w:val="514"/>
        </w:trPr>
        <w:tc>
          <w:tcPr>
            <w:tcW w:w="1361" w:type="dxa"/>
            <w:tcBorders>
              <w:top w:val="single" w:sz="12" w:space="0" w:color="auto"/>
              <w:left w:val="single" w:sz="12" w:space="0" w:color="auto"/>
              <w:bottom w:val="nil"/>
              <w:right w:val="single" w:sz="12" w:space="0" w:color="auto"/>
            </w:tcBorders>
            <w:shd w:val="clear" w:color="auto" w:fill="auto"/>
            <w:noWrap/>
            <w:vAlign w:val="bottom"/>
            <w:hideMark/>
          </w:tcPr>
          <w:p w14:paraId="0D78D7CD" w14:textId="77777777" w:rsidR="005C2C3D" w:rsidRPr="007F2994" w:rsidRDefault="005C2C3D" w:rsidP="007F2994">
            <w:pPr>
              <w:spacing w:after="0" w:line="240" w:lineRule="auto"/>
              <w:rPr>
                <w:rFonts w:ascii="Times New Roman" w:eastAsia="Times New Roman" w:hAnsi="Times New Roman" w:cs="Times New Roman"/>
                <w:sz w:val="24"/>
                <w:szCs w:val="24"/>
                <w:lang w:eastAsia="sk-SK"/>
              </w:rPr>
            </w:pPr>
          </w:p>
        </w:tc>
        <w:tc>
          <w:tcPr>
            <w:tcW w:w="3727" w:type="dxa"/>
            <w:gridSpan w:val="2"/>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6FFB8440" w14:textId="2DBC6228" w:rsidR="005C2C3D" w:rsidRPr="00E574F5" w:rsidRDefault="005C2C3D" w:rsidP="00EE2892">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Základný scenár</w:t>
            </w:r>
          </w:p>
        </w:tc>
        <w:tc>
          <w:tcPr>
            <w:tcW w:w="3828" w:type="dxa"/>
            <w:gridSpan w:val="2"/>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1F0D6E9B" w14:textId="27CC2EEC" w:rsidR="005C2C3D" w:rsidRPr="00E574F5" w:rsidRDefault="005C2C3D" w:rsidP="00EE2892">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Ambiciózny scenár</w:t>
            </w:r>
          </w:p>
        </w:tc>
      </w:tr>
      <w:tr w:rsidR="005C2C3D" w:rsidRPr="007F2994" w14:paraId="078DB727" w14:textId="77777777" w:rsidTr="005C2C3D">
        <w:trPr>
          <w:trHeight w:val="315"/>
        </w:trPr>
        <w:tc>
          <w:tcPr>
            <w:tcW w:w="1361" w:type="dxa"/>
            <w:tcBorders>
              <w:top w:val="nil"/>
              <w:left w:val="single" w:sz="12" w:space="0" w:color="auto"/>
              <w:bottom w:val="single" w:sz="12" w:space="0" w:color="auto"/>
              <w:right w:val="single" w:sz="12" w:space="0" w:color="auto"/>
            </w:tcBorders>
            <w:shd w:val="clear" w:color="auto" w:fill="auto"/>
            <w:noWrap/>
            <w:vAlign w:val="bottom"/>
            <w:hideMark/>
          </w:tcPr>
          <w:p w14:paraId="4DC7CA95" w14:textId="77777777" w:rsidR="005C2C3D" w:rsidRPr="007F2994" w:rsidRDefault="005C2C3D" w:rsidP="007F2994">
            <w:pPr>
              <w:spacing w:after="0" w:line="240" w:lineRule="auto"/>
              <w:jc w:val="center"/>
              <w:rPr>
                <w:rFonts w:ascii="Calibri" w:eastAsia="Times New Roman" w:hAnsi="Calibri" w:cs="Calibri"/>
                <w:color w:val="000000"/>
                <w:lang w:eastAsia="sk-SK"/>
              </w:rPr>
            </w:pPr>
          </w:p>
        </w:tc>
        <w:tc>
          <w:tcPr>
            <w:tcW w:w="1885" w:type="dxa"/>
            <w:tcBorders>
              <w:top w:val="nil"/>
              <w:left w:val="single" w:sz="12" w:space="0" w:color="auto"/>
              <w:bottom w:val="single" w:sz="12" w:space="0" w:color="auto"/>
              <w:right w:val="single" w:sz="4" w:space="0" w:color="auto"/>
            </w:tcBorders>
            <w:shd w:val="clear" w:color="auto" w:fill="FFFFFF" w:themeFill="background1"/>
            <w:noWrap/>
            <w:vAlign w:val="bottom"/>
            <w:hideMark/>
          </w:tcPr>
          <w:p w14:paraId="04B38FBF" w14:textId="77777777" w:rsidR="005C2C3D" w:rsidRPr="00EE2892" w:rsidRDefault="005C2C3D" w:rsidP="007F2994">
            <w:pPr>
              <w:spacing w:after="0" w:line="240" w:lineRule="auto"/>
              <w:jc w:val="center"/>
              <w:rPr>
                <w:rFonts w:ascii="Calibri" w:eastAsia="Times New Roman" w:hAnsi="Calibri" w:cs="Calibri"/>
                <w:color w:val="000000"/>
                <w:sz w:val="20"/>
                <w:szCs w:val="20"/>
                <w:lang w:eastAsia="sk-SK"/>
              </w:rPr>
            </w:pPr>
            <w:r w:rsidRPr="00EE2892">
              <w:rPr>
                <w:rFonts w:ascii="Calibri" w:eastAsia="Times New Roman" w:hAnsi="Calibri" w:cs="Calibri"/>
                <w:color w:val="000000"/>
                <w:sz w:val="20"/>
                <w:szCs w:val="20"/>
                <w:lang w:eastAsia="sk-SK"/>
              </w:rPr>
              <w:t>Počet</w:t>
            </w:r>
          </w:p>
        </w:tc>
        <w:tc>
          <w:tcPr>
            <w:tcW w:w="1842" w:type="dxa"/>
            <w:tcBorders>
              <w:top w:val="nil"/>
              <w:left w:val="nil"/>
              <w:bottom w:val="single" w:sz="12" w:space="0" w:color="auto"/>
              <w:right w:val="single" w:sz="12" w:space="0" w:color="auto"/>
            </w:tcBorders>
            <w:shd w:val="clear" w:color="auto" w:fill="FFFFFF" w:themeFill="background1"/>
            <w:noWrap/>
            <w:vAlign w:val="bottom"/>
            <w:hideMark/>
          </w:tcPr>
          <w:p w14:paraId="779E4F27" w14:textId="77777777" w:rsidR="005C2C3D" w:rsidRPr="00EE2892" w:rsidRDefault="005C2C3D" w:rsidP="007F2994">
            <w:pPr>
              <w:spacing w:after="0" w:line="240" w:lineRule="auto"/>
              <w:jc w:val="center"/>
              <w:rPr>
                <w:rFonts w:ascii="Calibri" w:eastAsia="Times New Roman" w:hAnsi="Calibri" w:cs="Calibri"/>
                <w:color w:val="000000"/>
                <w:sz w:val="20"/>
                <w:szCs w:val="20"/>
                <w:lang w:eastAsia="sk-SK"/>
              </w:rPr>
            </w:pPr>
            <w:r w:rsidRPr="00EE2892">
              <w:rPr>
                <w:rFonts w:ascii="Calibri" w:eastAsia="Times New Roman" w:hAnsi="Calibri" w:cs="Calibri"/>
                <w:color w:val="000000"/>
                <w:sz w:val="20"/>
                <w:szCs w:val="20"/>
                <w:lang w:eastAsia="sk-SK"/>
              </w:rPr>
              <w:t>Podiel</w:t>
            </w:r>
          </w:p>
        </w:tc>
        <w:tc>
          <w:tcPr>
            <w:tcW w:w="1985" w:type="dxa"/>
            <w:tcBorders>
              <w:top w:val="nil"/>
              <w:left w:val="single" w:sz="12" w:space="0" w:color="auto"/>
              <w:bottom w:val="single" w:sz="12" w:space="0" w:color="auto"/>
              <w:right w:val="single" w:sz="4" w:space="0" w:color="auto"/>
            </w:tcBorders>
            <w:shd w:val="clear" w:color="auto" w:fill="FFFFFF" w:themeFill="background1"/>
            <w:noWrap/>
            <w:vAlign w:val="bottom"/>
            <w:hideMark/>
          </w:tcPr>
          <w:p w14:paraId="0F4F70ED" w14:textId="77777777" w:rsidR="005C2C3D" w:rsidRPr="00EE2892" w:rsidRDefault="005C2C3D" w:rsidP="007F2994">
            <w:pPr>
              <w:spacing w:after="0" w:line="240" w:lineRule="auto"/>
              <w:jc w:val="center"/>
              <w:rPr>
                <w:rFonts w:ascii="Calibri" w:eastAsia="Times New Roman" w:hAnsi="Calibri" w:cs="Calibri"/>
                <w:color w:val="000000"/>
                <w:sz w:val="20"/>
                <w:szCs w:val="20"/>
                <w:lang w:eastAsia="sk-SK"/>
              </w:rPr>
            </w:pPr>
            <w:r w:rsidRPr="00EE2892">
              <w:rPr>
                <w:rFonts w:ascii="Calibri" w:eastAsia="Times New Roman" w:hAnsi="Calibri" w:cs="Calibri"/>
                <w:color w:val="000000"/>
                <w:sz w:val="20"/>
                <w:szCs w:val="20"/>
                <w:lang w:eastAsia="sk-SK"/>
              </w:rPr>
              <w:t>Počet</w:t>
            </w:r>
          </w:p>
        </w:tc>
        <w:tc>
          <w:tcPr>
            <w:tcW w:w="1843" w:type="dxa"/>
            <w:tcBorders>
              <w:top w:val="nil"/>
              <w:left w:val="nil"/>
              <w:bottom w:val="single" w:sz="12" w:space="0" w:color="auto"/>
              <w:right w:val="single" w:sz="12" w:space="0" w:color="auto"/>
            </w:tcBorders>
            <w:shd w:val="clear" w:color="auto" w:fill="FFFFFF" w:themeFill="background1"/>
            <w:noWrap/>
            <w:vAlign w:val="bottom"/>
            <w:hideMark/>
          </w:tcPr>
          <w:p w14:paraId="75ABDAFC" w14:textId="77777777" w:rsidR="005C2C3D" w:rsidRPr="00EE2892" w:rsidRDefault="005C2C3D" w:rsidP="007F2994">
            <w:pPr>
              <w:spacing w:after="0" w:line="240" w:lineRule="auto"/>
              <w:jc w:val="center"/>
              <w:rPr>
                <w:rFonts w:ascii="Calibri" w:eastAsia="Times New Roman" w:hAnsi="Calibri" w:cs="Calibri"/>
                <w:color w:val="000000"/>
                <w:sz w:val="20"/>
                <w:szCs w:val="20"/>
                <w:lang w:eastAsia="sk-SK"/>
              </w:rPr>
            </w:pPr>
            <w:r w:rsidRPr="00EE2892">
              <w:rPr>
                <w:rFonts w:ascii="Calibri" w:eastAsia="Times New Roman" w:hAnsi="Calibri" w:cs="Calibri"/>
                <w:color w:val="000000"/>
                <w:sz w:val="20"/>
                <w:szCs w:val="20"/>
                <w:lang w:eastAsia="sk-SK"/>
              </w:rPr>
              <w:t>Podiel</w:t>
            </w:r>
          </w:p>
        </w:tc>
      </w:tr>
      <w:tr w:rsidR="005C2C3D" w:rsidRPr="007F2994" w14:paraId="07AF9A19" w14:textId="77777777" w:rsidTr="005C2C3D">
        <w:trPr>
          <w:trHeight w:val="397"/>
        </w:trPr>
        <w:tc>
          <w:tcPr>
            <w:tcW w:w="136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62B800A6"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RD_P1-O1 (M)</w:t>
            </w:r>
          </w:p>
        </w:tc>
        <w:tc>
          <w:tcPr>
            <w:tcW w:w="1885"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47FDC3F6" w14:textId="084A474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437</w:t>
            </w:r>
          </w:p>
        </w:tc>
        <w:tc>
          <w:tcPr>
            <w:tcW w:w="1842"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6D537E2B" w14:textId="43652497"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4,67%</w:t>
            </w:r>
          </w:p>
        </w:tc>
        <w:tc>
          <w:tcPr>
            <w:tcW w:w="1985"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371C349A" w14:textId="2BE7E290"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501AD0E2" w14:textId="5AB39EC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3,67%</w:t>
            </w:r>
          </w:p>
        </w:tc>
      </w:tr>
      <w:tr w:rsidR="005C2C3D" w:rsidRPr="007F2994" w14:paraId="149FEDA6"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76B75A5D"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RD_P1-O2 (M)</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312A535" w14:textId="08BCA4D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343</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2D58D32C" w14:textId="5314999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3,67%</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3AA0EA2" w14:textId="5AE1CE4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6E0039E9" w14:textId="2A27956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304C030D" w14:textId="77777777" w:rsidTr="005C2C3D">
        <w:trPr>
          <w:trHeight w:val="397"/>
        </w:trPr>
        <w:tc>
          <w:tcPr>
            <w:tcW w:w="1361" w:type="dxa"/>
            <w:tcBorders>
              <w:top w:val="nil"/>
              <w:left w:val="single" w:sz="12" w:space="0" w:color="auto"/>
              <w:bottom w:val="single" w:sz="8" w:space="0" w:color="auto"/>
              <w:right w:val="single" w:sz="12" w:space="0" w:color="auto"/>
            </w:tcBorders>
            <w:shd w:val="clear" w:color="000000" w:fill="FFFFFF"/>
            <w:vAlign w:val="center"/>
            <w:hideMark/>
          </w:tcPr>
          <w:p w14:paraId="566CC2F5"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RD_P1-O3 (M)</w:t>
            </w:r>
          </w:p>
        </w:tc>
        <w:tc>
          <w:tcPr>
            <w:tcW w:w="18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2580200D" w14:textId="30CC82C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155</w:t>
            </w:r>
          </w:p>
        </w:tc>
        <w:tc>
          <w:tcPr>
            <w:tcW w:w="1842" w:type="dxa"/>
            <w:tcBorders>
              <w:top w:val="nil"/>
              <w:left w:val="nil"/>
              <w:bottom w:val="single" w:sz="8" w:space="0" w:color="auto"/>
              <w:right w:val="single" w:sz="12" w:space="0" w:color="auto"/>
            </w:tcBorders>
            <w:shd w:val="clear" w:color="auto" w:fill="FFFFFF" w:themeFill="background1"/>
            <w:noWrap/>
            <w:vAlign w:val="center"/>
            <w:hideMark/>
          </w:tcPr>
          <w:p w14:paraId="3F5A4D8B" w14:textId="77B1FF1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1,66%</w:t>
            </w:r>
          </w:p>
        </w:tc>
        <w:tc>
          <w:tcPr>
            <w:tcW w:w="19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065D9787" w14:textId="1653E52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8" w:space="0" w:color="auto"/>
              <w:right w:val="single" w:sz="12" w:space="0" w:color="auto"/>
            </w:tcBorders>
            <w:shd w:val="clear" w:color="auto" w:fill="FFFFFF" w:themeFill="background1"/>
            <w:noWrap/>
            <w:vAlign w:val="center"/>
            <w:hideMark/>
          </w:tcPr>
          <w:p w14:paraId="4F8ADB33" w14:textId="294B264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56B56927"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6F1DE25C"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RD_P2-O1 (M)</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881DF0D" w14:textId="19D24210"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468</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5956EAD6" w14:textId="7024A0F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5,00%</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67BE9E8" w14:textId="09BF351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0AC96524" w14:textId="5E71A8B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2498C6A9"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088FD5BD"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RD_P2-O2 (M)</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1075B9A" w14:textId="0EEDBB10"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374</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6251CF4D" w14:textId="70B5916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4,00%</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78AAB30" w14:textId="4A62B610"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352</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1DD6580F" w14:textId="442DD53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3,76%</w:t>
            </w:r>
          </w:p>
        </w:tc>
      </w:tr>
      <w:tr w:rsidR="005C2C3D" w:rsidRPr="007F2994" w14:paraId="4760B969" w14:textId="77777777" w:rsidTr="005C2C3D">
        <w:trPr>
          <w:trHeight w:val="397"/>
        </w:trPr>
        <w:tc>
          <w:tcPr>
            <w:tcW w:w="1361" w:type="dxa"/>
            <w:tcBorders>
              <w:top w:val="nil"/>
              <w:left w:val="single" w:sz="12" w:space="0" w:color="auto"/>
              <w:bottom w:val="single" w:sz="8" w:space="0" w:color="auto"/>
              <w:right w:val="single" w:sz="12" w:space="0" w:color="auto"/>
            </w:tcBorders>
            <w:shd w:val="clear" w:color="000000" w:fill="FFFFFF"/>
            <w:vAlign w:val="center"/>
            <w:hideMark/>
          </w:tcPr>
          <w:p w14:paraId="140A0A87"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RD_P2-O3 (M)</w:t>
            </w:r>
          </w:p>
        </w:tc>
        <w:tc>
          <w:tcPr>
            <w:tcW w:w="18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6042A9B1" w14:textId="316554B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186</w:t>
            </w:r>
          </w:p>
        </w:tc>
        <w:tc>
          <w:tcPr>
            <w:tcW w:w="1842" w:type="dxa"/>
            <w:tcBorders>
              <w:top w:val="nil"/>
              <w:left w:val="nil"/>
              <w:bottom w:val="single" w:sz="8" w:space="0" w:color="auto"/>
              <w:right w:val="single" w:sz="12" w:space="0" w:color="auto"/>
            </w:tcBorders>
            <w:shd w:val="clear" w:color="auto" w:fill="FFFFFF" w:themeFill="background1"/>
            <w:noWrap/>
            <w:vAlign w:val="center"/>
            <w:hideMark/>
          </w:tcPr>
          <w:p w14:paraId="7874E488" w14:textId="54BDA36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1,99%</w:t>
            </w:r>
          </w:p>
        </w:tc>
        <w:tc>
          <w:tcPr>
            <w:tcW w:w="19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37703190" w14:textId="34B89DC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8" w:space="0" w:color="auto"/>
              <w:right w:val="single" w:sz="12" w:space="0" w:color="auto"/>
            </w:tcBorders>
            <w:shd w:val="clear" w:color="auto" w:fill="FFFFFF" w:themeFill="background1"/>
            <w:noWrap/>
            <w:vAlign w:val="center"/>
            <w:hideMark/>
          </w:tcPr>
          <w:p w14:paraId="662A3A66" w14:textId="4B1DDC8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686C1D8E"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64B5C0B7"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RD_P3-O1 (M)</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BAF28F0" w14:textId="471ECBF4"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501</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79C24DB6" w14:textId="5AC6DAC0"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5,35%</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E2C26BF" w14:textId="62F7D3A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6ED728F4" w14:textId="0D9B1E3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70BD3927"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16B6BDC2"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RD_P3-O2 (M)</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B9A87E6" w14:textId="236ACF2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437</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725C8D3F" w14:textId="45B61C5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4,67%</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3A38C1E" w14:textId="00D0C7A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144339D6" w14:textId="2CFB4F94"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03FF27FC" w14:textId="77777777" w:rsidTr="005C2C3D">
        <w:trPr>
          <w:trHeight w:val="397"/>
        </w:trPr>
        <w:tc>
          <w:tcPr>
            <w:tcW w:w="1361" w:type="dxa"/>
            <w:tcBorders>
              <w:top w:val="nil"/>
              <w:left w:val="single" w:sz="12" w:space="0" w:color="auto"/>
              <w:bottom w:val="single" w:sz="12" w:space="0" w:color="auto"/>
              <w:right w:val="single" w:sz="12" w:space="0" w:color="auto"/>
            </w:tcBorders>
            <w:shd w:val="clear" w:color="000000" w:fill="FFFFFF"/>
            <w:vAlign w:val="center"/>
            <w:hideMark/>
          </w:tcPr>
          <w:p w14:paraId="26467CF6"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RD_P3-O3 (M)</w:t>
            </w:r>
          </w:p>
        </w:tc>
        <w:tc>
          <w:tcPr>
            <w:tcW w:w="1885"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7934C381" w14:textId="5DA76D3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218</w:t>
            </w:r>
          </w:p>
        </w:tc>
        <w:tc>
          <w:tcPr>
            <w:tcW w:w="1842" w:type="dxa"/>
            <w:tcBorders>
              <w:top w:val="nil"/>
              <w:left w:val="nil"/>
              <w:bottom w:val="single" w:sz="12" w:space="0" w:color="auto"/>
              <w:right w:val="single" w:sz="12" w:space="0" w:color="auto"/>
            </w:tcBorders>
            <w:shd w:val="clear" w:color="auto" w:fill="FFFFFF" w:themeFill="background1"/>
            <w:noWrap/>
            <w:vAlign w:val="center"/>
            <w:hideMark/>
          </w:tcPr>
          <w:p w14:paraId="783D1968" w14:textId="11122A8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2,33%</w:t>
            </w:r>
          </w:p>
        </w:tc>
        <w:tc>
          <w:tcPr>
            <w:tcW w:w="1985"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5B049A33" w14:textId="2DDC1C34"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12" w:space="0" w:color="auto"/>
              <w:right w:val="single" w:sz="12" w:space="0" w:color="auto"/>
            </w:tcBorders>
            <w:shd w:val="clear" w:color="auto" w:fill="FFFFFF" w:themeFill="background1"/>
            <w:noWrap/>
            <w:vAlign w:val="center"/>
            <w:hideMark/>
          </w:tcPr>
          <w:p w14:paraId="5A9C7443" w14:textId="644B6379"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7092353F" w14:textId="77777777" w:rsidTr="005C2C3D">
        <w:trPr>
          <w:trHeight w:val="397"/>
        </w:trPr>
        <w:tc>
          <w:tcPr>
            <w:tcW w:w="136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6EAD9CA0"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RD_P1-O1 (S)</w:t>
            </w:r>
          </w:p>
        </w:tc>
        <w:tc>
          <w:tcPr>
            <w:tcW w:w="1885"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155E9B2A" w14:textId="5542B9AB"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437</w:t>
            </w:r>
          </w:p>
        </w:tc>
        <w:tc>
          <w:tcPr>
            <w:tcW w:w="1842"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6973699B" w14:textId="684AEE59"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4,67%</w:t>
            </w:r>
          </w:p>
        </w:tc>
        <w:tc>
          <w:tcPr>
            <w:tcW w:w="1985"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0BA746DD" w14:textId="216F078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2B5640D0" w14:textId="6D6965E3"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72995FF9"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34119937"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RD_P1-O2 (S)</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22F990A" w14:textId="515DE09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343</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170EE81B" w14:textId="048D88CC"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3,67%</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31EB149F" w14:textId="714D466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2282F62C" w14:textId="493B5FD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2BC6324D" w14:textId="77777777" w:rsidTr="005C2C3D">
        <w:trPr>
          <w:trHeight w:val="397"/>
        </w:trPr>
        <w:tc>
          <w:tcPr>
            <w:tcW w:w="1361" w:type="dxa"/>
            <w:tcBorders>
              <w:top w:val="nil"/>
              <w:left w:val="single" w:sz="12" w:space="0" w:color="auto"/>
              <w:bottom w:val="single" w:sz="8" w:space="0" w:color="auto"/>
              <w:right w:val="single" w:sz="12" w:space="0" w:color="auto"/>
            </w:tcBorders>
            <w:shd w:val="clear" w:color="000000" w:fill="FFFFFF"/>
            <w:vAlign w:val="center"/>
            <w:hideMark/>
          </w:tcPr>
          <w:p w14:paraId="0103D4F0"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RD_P1-O3 (S)</w:t>
            </w:r>
          </w:p>
        </w:tc>
        <w:tc>
          <w:tcPr>
            <w:tcW w:w="18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0B0CA9DF" w14:textId="0286788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155</w:t>
            </w:r>
          </w:p>
        </w:tc>
        <w:tc>
          <w:tcPr>
            <w:tcW w:w="1842" w:type="dxa"/>
            <w:tcBorders>
              <w:top w:val="nil"/>
              <w:left w:val="nil"/>
              <w:bottom w:val="single" w:sz="8" w:space="0" w:color="auto"/>
              <w:right w:val="single" w:sz="12" w:space="0" w:color="auto"/>
            </w:tcBorders>
            <w:shd w:val="clear" w:color="auto" w:fill="FFFFFF" w:themeFill="background1"/>
            <w:noWrap/>
            <w:vAlign w:val="center"/>
            <w:hideMark/>
          </w:tcPr>
          <w:p w14:paraId="7FDD89B4" w14:textId="1A3FD99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1,66%</w:t>
            </w:r>
          </w:p>
        </w:tc>
        <w:tc>
          <w:tcPr>
            <w:tcW w:w="19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70F8C4D9" w14:textId="614973A9"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8" w:space="0" w:color="auto"/>
              <w:right w:val="single" w:sz="12" w:space="0" w:color="auto"/>
            </w:tcBorders>
            <w:shd w:val="clear" w:color="auto" w:fill="FFFFFF" w:themeFill="background1"/>
            <w:noWrap/>
            <w:vAlign w:val="center"/>
            <w:hideMark/>
          </w:tcPr>
          <w:p w14:paraId="12A4A435" w14:textId="1181366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74B47A6F"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6D846DAA"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RD_P2-O1 (S)</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0C700DB8" w14:textId="1E2D4DD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468</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41CB022B" w14:textId="4E9B40A9"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5,00%</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41EF98C" w14:textId="3C621EF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5358461A" w14:textId="0FE6CED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536239CA"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4AC9FCFE"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RD_P2-O2 (S)</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1FB821A" w14:textId="673AAF94"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374</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68BAF383" w14:textId="1D1987D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4,00%</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71CE126" w14:textId="3BD9EB4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352</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59F6529C" w14:textId="46F67B5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3,76%</w:t>
            </w:r>
          </w:p>
        </w:tc>
      </w:tr>
      <w:tr w:rsidR="005C2C3D" w:rsidRPr="007F2994" w14:paraId="0D72B6A1" w14:textId="77777777" w:rsidTr="005C2C3D">
        <w:trPr>
          <w:trHeight w:val="397"/>
        </w:trPr>
        <w:tc>
          <w:tcPr>
            <w:tcW w:w="1361" w:type="dxa"/>
            <w:tcBorders>
              <w:top w:val="nil"/>
              <w:left w:val="single" w:sz="12" w:space="0" w:color="auto"/>
              <w:bottom w:val="single" w:sz="8" w:space="0" w:color="auto"/>
              <w:right w:val="single" w:sz="12" w:space="0" w:color="auto"/>
            </w:tcBorders>
            <w:shd w:val="clear" w:color="000000" w:fill="FFFFFF"/>
            <w:vAlign w:val="center"/>
            <w:hideMark/>
          </w:tcPr>
          <w:p w14:paraId="7A4FE47B"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RD_P2-O3 (S)</w:t>
            </w:r>
          </w:p>
        </w:tc>
        <w:tc>
          <w:tcPr>
            <w:tcW w:w="18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65FD3B51" w14:textId="136324F9"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186</w:t>
            </w:r>
          </w:p>
        </w:tc>
        <w:tc>
          <w:tcPr>
            <w:tcW w:w="1842" w:type="dxa"/>
            <w:tcBorders>
              <w:top w:val="nil"/>
              <w:left w:val="nil"/>
              <w:bottom w:val="single" w:sz="8" w:space="0" w:color="auto"/>
              <w:right w:val="single" w:sz="12" w:space="0" w:color="auto"/>
            </w:tcBorders>
            <w:shd w:val="clear" w:color="auto" w:fill="FFFFFF" w:themeFill="background1"/>
            <w:noWrap/>
            <w:vAlign w:val="center"/>
            <w:hideMark/>
          </w:tcPr>
          <w:p w14:paraId="3ED97D59" w14:textId="3061272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1,99%</w:t>
            </w:r>
          </w:p>
        </w:tc>
        <w:tc>
          <w:tcPr>
            <w:tcW w:w="19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38AAA0E4" w14:textId="2CC8AC97"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8" w:space="0" w:color="auto"/>
              <w:right w:val="single" w:sz="12" w:space="0" w:color="auto"/>
            </w:tcBorders>
            <w:shd w:val="clear" w:color="auto" w:fill="FFFFFF" w:themeFill="background1"/>
            <w:noWrap/>
            <w:vAlign w:val="center"/>
            <w:hideMark/>
          </w:tcPr>
          <w:p w14:paraId="04EB1157" w14:textId="5AF4D2E9"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0A6BD4C9"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04D4FE1B"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RD_P3-O1 (S)</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A250D73" w14:textId="621254C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501</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7A81E517" w14:textId="611DC62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5,35%</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43EAE58" w14:textId="2734FF10"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53B36412" w14:textId="5B2E464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1EB07317"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65CEDE49"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RD_P3-O2 (S)</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4C328A5C" w14:textId="386347F3"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437</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49F2BE38" w14:textId="5359270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4,67%</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0078392C" w14:textId="3B051FA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1F3603C2" w14:textId="33505F6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122C2532" w14:textId="77777777" w:rsidTr="005C2C3D">
        <w:trPr>
          <w:trHeight w:val="397"/>
        </w:trPr>
        <w:tc>
          <w:tcPr>
            <w:tcW w:w="1361" w:type="dxa"/>
            <w:tcBorders>
              <w:top w:val="nil"/>
              <w:left w:val="single" w:sz="12" w:space="0" w:color="auto"/>
              <w:bottom w:val="single" w:sz="12" w:space="0" w:color="auto"/>
              <w:right w:val="single" w:sz="12" w:space="0" w:color="auto"/>
            </w:tcBorders>
            <w:shd w:val="clear" w:color="000000" w:fill="FFFFFF"/>
            <w:vAlign w:val="center"/>
            <w:hideMark/>
          </w:tcPr>
          <w:p w14:paraId="723BFB4A"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RD_P3-O3 (S)</w:t>
            </w:r>
          </w:p>
        </w:tc>
        <w:tc>
          <w:tcPr>
            <w:tcW w:w="1885"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02244018" w14:textId="11DCD3C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218</w:t>
            </w:r>
          </w:p>
        </w:tc>
        <w:tc>
          <w:tcPr>
            <w:tcW w:w="1842" w:type="dxa"/>
            <w:tcBorders>
              <w:top w:val="nil"/>
              <w:left w:val="nil"/>
              <w:bottom w:val="single" w:sz="12" w:space="0" w:color="auto"/>
              <w:right w:val="single" w:sz="12" w:space="0" w:color="auto"/>
            </w:tcBorders>
            <w:shd w:val="clear" w:color="auto" w:fill="FFFFFF" w:themeFill="background1"/>
            <w:noWrap/>
            <w:vAlign w:val="center"/>
            <w:hideMark/>
          </w:tcPr>
          <w:p w14:paraId="43BB9616" w14:textId="297F4A6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2,33%</w:t>
            </w:r>
          </w:p>
        </w:tc>
        <w:tc>
          <w:tcPr>
            <w:tcW w:w="1985"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0E799AC5" w14:textId="62D63B97"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12" w:space="0" w:color="auto"/>
              <w:right w:val="single" w:sz="12" w:space="0" w:color="auto"/>
            </w:tcBorders>
            <w:shd w:val="clear" w:color="auto" w:fill="FFFFFF" w:themeFill="background1"/>
            <w:noWrap/>
            <w:vAlign w:val="center"/>
            <w:hideMark/>
          </w:tcPr>
          <w:p w14:paraId="6A333AB3" w14:textId="06C4427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12EAD041" w14:textId="77777777" w:rsidTr="005C2C3D">
        <w:trPr>
          <w:trHeight w:val="397"/>
        </w:trPr>
        <w:tc>
          <w:tcPr>
            <w:tcW w:w="1361" w:type="dxa"/>
            <w:tcBorders>
              <w:top w:val="single" w:sz="12" w:space="0" w:color="auto"/>
              <w:left w:val="single" w:sz="12" w:space="0" w:color="auto"/>
              <w:bottom w:val="single" w:sz="4" w:space="0" w:color="auto"/>
              <w:right w:val="single" w:sz="12" w:space="0" w:color="auto"/>
            </w:tcBorders>
            <w:shd w:val="clear" w:color="000000" w:fill="FFFFFF"/>
            <w:vAlign w:val="center"/>
            <w:hideMark/>
          </w:tcPr>
          <w:p w14:paraId="429BB3CC"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RD_P1-O1 (V)</w:t>
            </w:r>
          </w:p>
        </w:tc>
        <w:tc>
          <w:tcPr>
            <w:tcW w:w="1885"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6A4D81A2" w14:textId="48C6D97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437</w:t>
            </w:r>
          </w:p>
        </w:tc>
        <w:tc>
          <w:tcPr>
            <w:tcW w:w="1842"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3A730C9A" w14:textId="6C650157"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4,67%</w:t>
            </w:r>
          </w:p>
        </w:tc>
        <w:tc>
          <w:tcPr>
            <w:tcW w:w="1985" w:type="dxa"/>
            <w:tcBorders>
              <w:top w:val="single" w:sz="12" w:space="0" w:color="auto"/>
              <w:left w:val="single" w:sz="12" w:space="0" w:color="auto"/>
              <w:bottom w:val="single" w:sz="4" w:space="0" w:color="auto"/>
              <w:right w:val="single" w:sz="4" w:space="0" w:color="auto"/>
            </w:tcBorders>
            <w:shd w:val="clear" w:color="auto" w:fill="FFFFFF" w:themeFill="background1"/>
            <w:noWrap/>
            <w:vAlign w:val="center"/>
            <w:hideMark/>
          </w:tcPr>
          <w:p w14:paraId="6AB7473C" w14:textId="3D8BDEB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single" w:sz="12" w:space="0" w:color="auto"/>
              <w:left w:val="nil"/>
              <w:bottom w:val="single" w:sz="4" w:space="0" w:color="auto"/>
              <w:right w:val="single" w:sz="12" w:space="0" w:color="auto"/>
            </w:tcBorders>
            <w:shd w:val="clear" w:color="auto" w:fill="FFFFFF" w:themeFill="background1"/>
            <w:noWrap/>
            <w:vAlign w:val="center"/>
            <w:hideMark/>
          </w:tcPr>
          <w:p w14:paraId="1434BA17" w14:textId="4D6B4923"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1B3AEA38"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5543FD44"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RD_P1-O2 (V)</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C5807A0" w14:textId="47D6190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343</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48294A82" w14:textId="24B9E12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3,67%</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31C3EB5" w14:textId="0084305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1D9E8BA9" w14:textId="274F39E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51EA7066" w14:textId="77777777" w:rsidTr="005C2C3D">
        <w:trPr>
          <w:trHeight w:val="397"/>
        </w:trPr>
        <w:tc>
          <w:tcPr>
            <w:tcW w:w="1361" w:type="dxa"/>
            <w:tcBorders>
              <w:top w:val="nil"/>
              <w:left w:val="single" w:sz="12" w:space="0" w:color="auto"/>
              <w:bottom w:val="single" w:sz="8" w:space="0" w:color="auto"/>
              <w:right w:val="single" w:sz="12" w:space="0" w:color="auto"/>
            </w:tcBorders>
            <w:shd w:val="clear" w:color="000000" w:fill="FFFFFF"/>
            <w:vAlign w:val="center"/>
            <w:hideMark/>
          </w:tcPr>
          <w:p w14:paraId="3E381433"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RD_P1-O3 (V)</w:t>
            </w:r>
          </w:p>
        </w:tc>
        <w:tc>
          <w:tcPr>
            <w:tcW w:w="18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086BC8AA" w14:textId="602C4A5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155</w:t>
            </w:r>
          </w:p>
        </w:tc>
        <w:tc>
          <w:tcPr>
            <w:tcW w:w="1842" w:type="dxa"/>
            <w:tcBorders>
              <w:top w:val="nil"/>
              <w:left w:val="nil"/>
              <w:bottom w:val="single" w:sz="8" w:space="0" w:color="auto"/>
              <w:right w:val="single" w:sz="12" w:space="0" w:color="auto"/>
            </w:tcBorders>
            <w:shd w:val="clear" w:color="auto" w:fill="FFFFFF" w:themeFill="background1"/>
            <w:noWrap/>
            <w:vAlign w:val="center"/>
            <w:hideMark/>
          </w:tcPr>
          <w:p w14:paraId="29FDD6F5" w14:textId="184B756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1,66%</w:t>
            </w:r>
          </w:p>
        </w:tc>
        <w:tc>
          <w:tcPr>
            <w:tcW w:w="19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0A2C4D7F" w14:textId="3019F32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8" w:space="0" w:color="auto"/>
              <w:right w:val="single" w:sz="12" w:space="0" w:color="auto"/>
            </w:tcBorders>
            <w:shd w:val="clear" w:color="auto" w:fill="FFFFFF" w:themeFill="background1"/>
            <w:noWrap/>
            <w:vAlign w:val="center"/>
            <w:hideMark/>
          </w:tcPr>
          <w:p w14:paraId="60A5C877" w14:textId="745A8D3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2D11321F"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29E6DEA9"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RD_P2-O1 (V)</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8F8B890" w14:textId="18D8972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468</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18CD2483" w14:textId="564127F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5,00%</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0FE71E9" w14:textId="5F6DFD81"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0C64B397" w14:textId="2596CF1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4B6410D5"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07BC8CB5"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RD_P2-O2 (V)</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676EAD21" w14:textId="13A7BF7E"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374</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1BF4BFBB" w14:textId="70763D9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4,00%</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176C1C43" w14:textId="7C529C5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353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2984FA14" w14:textId="5FE00C9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3,77%</w:t>
            </w:r>
          </w:p>
        </w:tc>
      </w:tr>
      <w:tr w:rsidR="005C2C3D" w:rsidRPr="007F2994" w14:paraId="504A1963" w14:textId="77777777" w:rsidTr="005C2C3D">
        <w:trPr>
          <w:trHeight w:val="397"/>
        </w:trPr>
        <w:tc>
          <w:tcPr>
            <w:tcW w:w="1361" w:type="dxa"/>
            <w:tcBorders>
              <w:top w:val="nil"/>
              <w:left w:val="single" w:sz="12" w:space="0" w:color="auto"/>
              <w:bottom w:val="single" w:sz="8" w:space="0" w:color="auto"/>
              <w:right w:val="single" w:sz="12" w:space="0" w:color="auto"/>
            </w:tcBorders>
            <w:shd w:val="clear" w:color="000000" w:fill="FFFFFF"/>
            <w:vAlign w:val="center"/>
            <w:hideMark/>
          </w:tcPr>
          <w:p w14:paraId="58E69824"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RD_P2-O3 (V)</w:t>
            </w:r>
          </w:p>
        </w:tc>
        <w:tc>
          <w:tcPr>
            <w:tcW w:w="18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216771F9" w14:textId="10304742"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186</w:t>
            </w:r>
          </w:p>
        </w:tc>
        <w:tc>
          <w:tcPr>
            <w:tcW w:w="1842" w:type="dxa"/>
            <w:tcBorders>
              <w:top w:val="nil"/>
              <w:left w:val="nil"/>
              <w:bottom w:val="single" w:sz="8" w:space="0" w:color="auto"/>
              <w:right w:val="single" w:sz="12" w:space="0" w:color="auto"/>
            </w:tcBorders>
            <w:shd w:val="clear" w:color="auto" w:fill="FFFFFF" w:themeFill="background1"/>
            <w:noWrap/>
            <w:vAlign w:val="center"/>
            <w:hideMark/>
          </w:tcPr>
          <w:p w14:paraId="188C2F95" w14:textId="20494B3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1,99%</w:t>
            </w:r>
          </w:p>
        </w:tc>
        <w:tc>
          <w:tcPr>
            <w:tcW w:w="1985" w:type="dxa"/>
            <w:tcBorders>
              <w:top w:val="nil"/>
              <w:left w:val="single" w:sz="12" w:space="0" w:color="auto"/>
              <w:bottom w:val="single" w:sz="8" w:space="0" w:color="auto"/>
              <w:right w:val="single" w:sz="4" w:space="0" w:color="auto"/>
            </w:tcBorders>
            <w:shd w:val="clear" w:color="auto" w:fill="FFFFFF" w:themeFill="background1"/>
            <w:noWrap/>
            <w:vAlign w:val="center"/>
            <w:hideMark/>
          </w:tcPr>
          <w:p w14:paraId="550A1D9A" w14:textId="0E7E0BED"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8" w:space="0" w:color="auto"/>
              <w:right w:val="single" w:sz="12" w:space="0" w:color="auto"/>
            </w:tcBorders>
            <w:shd w:val="clear" w:color="auto" w:fill="FFFFFF" w:themeFill="background1"/>
            <w:noWrap/>
            <w:vAlign w:val="center"/>
            <w:hideMark/>
          </w:tcPr>
          <w:p w14:paraId="001E78D0" w14:textId="46BB848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1E130627"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45BCC5EE"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RD_P3-O1 (V)</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76020291" w14:textId="15B9D2D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501</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46295CFA" w14:textId="23E19C05"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5,35%</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3BE0B6AA" w14:textId="1186ED74"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36CC7B6A" w14:textId="1D58C93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132F12F4" w14:textId="77777777" w:rsidTr="005C2C3D">
        <w:trPr>
          <w:trHeight w:val="397"/>
        </w:trPr>
        <w:tc>
          <w:tcPr>
            <w:tcW w:w="1361" w:type="dxa"/>
            <w:tcBorders>
              <w:top w:val="nil"/>
              <w:left w:val="single" w:sz="12" w:space="0" w:color="auto"/>
              <w:bottom w:val="single" w:sz="4" w:space="0" w:color="auto"/>
              <w:right w:val="single" w:sz="12" w:space="0" w:color="auto"/>
            </w:tcBorders>
            <w:shd w:val="clear" w:color="000000" w:fill="FFFFFF"/>
            <w:vAlign w:val="center"/>
            <w:hideMark/>
          </w:tcPr>
          <w:p w14:paraId="5ADFD105"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RD_P3-O2 (V)</w:t>
            </w:r>
          </w:p>
        </w:tc>
        <w:tc>
          <w:tcPr>
            <w:tcW w:w="18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57629843" w14:textId="76FAE94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437</w:t>
            </w:r>
          </w:p>
        </w:tc>
        <w:tc>
          <w:tcPr>
            <w:tcW w:w="1842" w:type="dxa"/>
            <w:tcBorders>
              <w:top w:val="nil"/>
              <w:left w:val="nil"/>
              <w:bottom w:val="single" w:sz="4" w:space="0" w:color="auto"/>
              <w:right w:val="single" w:sz="12" w:space="0" w:color="auto"/>
            </w:tcBorders>
            <w:shd w:val="clear" w:color="auto" w:fill="FFFFFF" w:themeFill="background1"/>
            <w:noWrap/>
            <w:vAlign w:val="center"/>
            <w:hideMark/>
          </w:tcPr>
          <w:p w14:paraId="7C782E4F" w14:textId="7A25B52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4,67%</w:t>
            </w:r>
          </w:p>
        </w:tc>
        <w:tc>
          <w:tcPr>
            <w:tcW w:w="1985" w:type="dxa"/>
            <w:tcBorders>
              <w:top w:val="nil"/>
              <w:left w:val="single" w:sz="12" w:space="0" w:color="auto"/>
              <w:bottom w:val="single" w:sz="4" w:space="0" w:color="auto"/>
              <w:right w:val="single" w:sz="4" w:space="0" w:color="auto"/>
            </w:tcBorders>
            <w:shd w:val="clear" w:color="auto" w:fill="FFFFFF" w:themeFill="background1"/>
            <w:noWrap/>
            <w:vAlign w:val="center"/>
            <w:hideMark/>
          </w:tcPr>
          <w:p w14:paraId="29958316" w14:textId="0054C758"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4" w:space="0" w:color="auto"/>
              <w:right w:val="single" w:sz="12" w:space="0" w:color="auto"/>
            </w:tcBorders>
            <w:shd w:val="clear" w:color="auto" w:fill="FFFFFF" w:themeFill="background1"/>
            <w:noWrap/>
            <w:vAlign w:val="center"/>
            <w:hideMark/>
          </w:tcPr>
          <w:p w14:paraId="67D2BC88" w14:textId="1B65579A"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r w:rsidR="005C2C3D" w:rsidRPr="007F2994" w14:paraId="2FCA57DE" w14:textId="77777777" w:rsidTr="005C2C3D">
        <w:trPr>
          <w:trHeight w:val="397"/>
        </w:trPr>
        <w:tc>
          <w:tcPr>
            <w:tcW w:w="1361" w:type="dxa"/>
            <w:tcBorders>
              <w:top w:val="nil"/>
              <w:left w:val="single" w:sz="12" w:space="0" w:color="auto"/>
              <w:bottom w:val="single" w:sz="12" w:space="0" w:color="auto"/>
              <w:right w:val="single" w:sz="12" w:space="0" w:color="auto"/>
            </w:tcBorders>
            <w:shd w:val="clear" w:color="000000" w:fill="FFFFFF"/>
            <w:vAlign w:val="center"/>
            <w:hideMark/>
          </w:tcPr>
          <w:p w14:paraId="0FF6CE1F" w14:textId="77777777" w:rsidR="005C2C3D" w:rsidRPr="007F2994" w:rsidRDefault="005C2C3D" w:rsidP="002B49A0">
            <w:pPr>
              <w:spacing w:after="0" w:line="240" w:lineRule="auto"/>
              <w:rPr>
                <w:rFonts w:eastAsia="Times New Roman" w:cstheme="minorHAnsi"/>
                <w:color w:val="000000"/>
                <w:sz w:val="20"/>
                <w:szCs w:val="20"/>
                <w:lang w:eastAsia="sk-SK"/>
              </w:rPr>
            </w:pPr>
            <w:r w:rsidRPr="007F2994">
              <w:rPr>
                <w:rFonts w:eastAsia="Times New Roman" w:cstheme="minorHAnsi"/>
                <w:color w:val="000000"/>
                <w:sz w:val="20"/>
                <w:szCs w:val="20"/>
                <w:lang w:eastAsia="sk-SK"/>
              </w:rPr>
              <w:t>RD_P3-O3 (V)</w:t>
            </w:r>
          </w:p>
        </w:tc>
        <w:tc>
          <w:tcPr>
            <w:tcW w:w="1885"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0A4E2693" w14:textId="289DDF8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218</w:t>
            </w:r>
          </w:p>
        </w:tc>
        <w:tc>
          <w:tcPr>
            <w:tcW w:w="1842" w:type="dxa"/>
            <w:tcBorders>
              <w:top w:val="nil"/>
              <w:left w:val="nil"/>
              <w:bottom w:val="single" w:sz="12" w:space="0" w:color="auto"/>
              <w:right w:val="single" w:sz="12" w:space="0" w:color="auto"/>
            </w:tcBorders>
            <w:shd w:val="clear" w:color="auto" w:fill="FFFFFF" w:themeFill="background1"/>
            <w:noWrap/>
            <w:vAlign w:val="center"/>
            <w:hideMark/>
          </w:tcPr>
          <w:p w14:paraId="732A886D" w14:textId="5EA085FC"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2,33%</w:t>
            </w:r>
          </w:p>
        </w:tc>
        <w:tc>
          <w:tcPr>
            <w:tcW w:w="1985" w:type="dxa"/>
            <w:tcBorders>
              <w:top w:val="nil"/>
              <w:left w:val="single" w:sz="12" w:space="0" w:color="auto"/>
              <w:bottom w:val="single" w:sz="12" w:space="0" w:color="auto"/>
              <w:right w:val="single" w:sz="4" w:space="0" w:color="auto"/>
            </w:tcBorders>
            <w:shd w:val="clear" w:color="auto" w:fill="FFFFFF" w:themeFill="background1"/>
            <w:noWrap/>
            <w:vAlign w:val="center"/>
            <w:hideMark/>
          </w:tcPr>
          <w:p w14:paraId="41C0B230" w14:textId="0D392D46"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323</w:t>
            </w:r>
          </w:p>
        </w:tc>
        <w:tc>
          <w:tcPr>
            <w:tcW w:w="1843" w:type="dxa"/>
            <w:tcBorders>
              <w:top w:val="nil"/>
              <w:left w:val="nil"/>
              <w:bottom w:val="single" w:sz="12" w:space="0" w:color="auto"/>
              <w:right w:val="single" w:sz="12" w:space="0" w:color="auto"/>
            </w:tcBorders>
            <w:shd w:val="clear" w:color="auto" w:fill="FFFFFF" w:themeFill="background1"/>
            <w:noWrap/>
            <w:vAlign w:val="center"/>
            <w:hideMark/>
          </w:tcPr>
          <w:p w14:paraId="1880A731" w14:textId="0DC5675F" w:rsidR="005C2C3D" w:rsidRPr="002B49A0" w:rsidRDefault="005C2C3D" w:rsidP="002B49A0">
            <w:pPr>
              <w:spacing w:after="0" w:line="240" w:lineRule="auto"/>
              <w:jc w:val="center"/>
              <w:rPr>
                <w:rFonts w:eastAsia="Times New Roman" w:cstheme="minorHAnsi"/>
                <w:sz w:val="20"/>
                <w:szCs w:val="20"/>
                <w:lang w:eastAsia="sk-SK"/>
              </w:rPr>
            </w:pPr>
            <w:r w:rsidRPr="002B49A0">
              <w:rPr>
                <w:rFonts w:cstheme="minorHAnsi"/>
                <w:sz w:val="20"/>
                <w:szCs w:val="20"/>
              </w:rPr>
              <w:t>3,45%</w:t>
            </w:r>
          </w:p>
        </w:tc>
      </w:tr>
    </w:tbl>
    <w:p w14:paraId="53E8D271" w14:textId="744E54AF" w:rsidR="001D7357" w:rsidRDefault="001D7357" w:rsidP="009C24CB"/>
    <w:p w14:paraId="7C13B7DB" w14:textId="31CC051B" w:rsidR="007F2994" w:rsidRDefault="007F2994" w:rsidP="009C24CB"/>
    <w:p w14:paraId="7AECB811" w14:textId="77777777" w:rsidR="00EE2892" w:rsidRDefault="00EE2892" w:rsidP="009C24CB"/>
    <w:p w14:paraId="3727A14B" w14:textId="09F774C3" w:rsidR="00E574F5" w:rsidRPr="00EE2892" w:rsidRDefault="00E574F5" w:rsidP="00E574F5">
      <w:pPr>
        <w:rPr>
          <w:i/>
          <w:iCs/>
        </w:rPr>
      </w:pPr>
      <w:r w:rsidRPr="00EE2892">
        <w:rPr>
          <w:i/>
          <w:iCs/>
        </w:rPr>
        <w:lastRenderedPageBreak/>
        <w:t>Tab</w:t>
      </w:r>
      <w:r w:rsidR="00EE2892" w:rsidRPr="00EE2892">
        <w:rPr>
          <w:i/>
          <w:iCs/>
        </w:rPr>
        <w:t>.</w:t>
      </w:r>
      <w:r w:rsidR="002B49A0">
        <w:rPr>
          <w:i/>
          <w:iCs/>
        </w:rPr>
        <w:t>3</w:t>
      </w:r>
      <w:r w:rsidR="009D46B3">
        <w:rPr>
          <w:i/>
          <w:iCs/>
        </w:rPr>
        <w:t>3</w:t>
      </w:r>
      <w:r w:rsidRPr="00EE2892">
        <w:rPr>
          <w:i/>
          <w:iCs/>
        </w:rPr>
        <w:t>: Vyhodnotenie posudzovaných scenárov vztiahnutých na 100 mil. eur podpory</w:t>
      </w:r>
    </w:p>
    <w:tbl>
      <w:tblPr>
        <w:tblW w:w="9057" w:type="dxa"/>
        <w:tblCellMar>
          <w:left w:w="70" w:type="dxa"/>
          <w:right w:w="70" w:type="dxa"/>
        </w:tblCellMar>
        <w:tblLook w:val="04A0" w:firstRow="1" w:lastRow="0" w:firstColumn="1" w:lastColumn="0" w:noHBand="0" w:noVBand="1"/>
      </w:tblPr>
      <w:tblGrid>
        <w:gridCol w:w="2520"/>
        <w:gridCol w:w="3561"/>
        <w:gridCol w:w="2976"/>
      </w:tblGrid>
      <w:tr w:rsidR="005C2C3D" w:rsidRPr="00E21483" w14:paraId="2DBA1AE0" w14:textId="77777777" w:rsidTr="005C2C3D">
        <w:trPr>
          <w:trHeight w:val="513"/>
        </w:trPr>
        <w:tc>
          <w:tcPr>
            <w:tcW w:w="2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663948A" w14:textId="77777777" w:rsidR="005C2C3D" w:rsidRPr="00E21483" w:rsidRDefault="005C2C3D" w:rsidP="006E02E8">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 </w:t>
            </w:r>
          </w:p>
        </w:tc>
        <w:tc>
          <w:tcPr>
            <w:tcW w:w="3561"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354620E4" w14:textId="77777777" w:rsidR="005C2C3D" w:rsidRPr="00E21483"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Základný scenár</w:t>
            </w:r>
          </w:p>
        </w:tc>
        <w:tc>
          <w:tcPr>
            <w:tcW w:w="2976" w:type="dxa"/>
            <w:tcBorders>
              <w:top w:val="single" w:sz="12" w:space="0" w:color="auto"/>
              <w:left w:val="single" w:sz="12" w:space="0" w:color="auto"/>
              <w:bottom w:val="single" w:sz="12" w:space="0" w:color="auto"/>
              <w:right w:val="single" w:sz="12" w:space="0" w:color="auto"/>
            </w:tcBorders>
            <w:shd w:val="clear" w:color="auto" w:fill="FFFFFF" w:themeFill="background1"/>
            <w:noWrap/>
            <w:vAlign w:val="center"/>
            <w:hideMark/>
          </w:tcPr>
          <w:p w14:paraId="5E688B7D" w14:textId="77777777" w:rsidR="005C2C3D" w:rsidRPr="00E21483" w:rsidRDefault="005C2C3D" w:rsidP="006E02E8">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Ambiciózny scenár</w:t>
            </w:r>
          </w:p>
        </w:tc>
      </w:tr>
      <w:tr w:rsidR="005C2C3D" w:rsidRPr="00E21483" w14:paraId="1DE455A4" w14:textId="77777777" w:rsidTr="005C2C3D">
        <w:trPr>
          <w:trHeight w:val="369"/>
        </w:trPr>
        <w:tc>
          <w:tcPr>
            <w:tcW w:w="2520"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7A5C6E2" w14:textId="77777777" w:rsidR="005C2C3D" w:rsidRPr="00E21483" w:rsidRDefault="005C2C3D" w:rsidP="002B49A0">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Celkové náklady</w:t>
            </w:r>
          </w:p>
        </w:tc>
        <w:tc>
          <w:tcPr>
            <w:tcW w:w="3561"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0DCBBF32" w14:textId="7E0C1FAE"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227 415 382</w:t>
            </w:r>
            <w:r w:rsidRPr="0018553F">
              <w:rPr>
                <w:rFonts w:ascii="Calibri" w:hAnsi="Calibri" w:cs="Calibri"/>
                <w:color w:val="000000"/>
                <w:sz w:val="20"/>
                <w:szCs w:val="20"/>
              </w:rPr>
              <w:t xml:space="preserve"> €</w:t>
            </w:r>
          </w:p>
        </w:tc>
        <w:tc>
          <w:tcPr>
            <w:tcW w:w="2976"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5C7294A3" w14:textId="4E62EAE1"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220 454 395</w:t>
            </w:r>
            <w:r w:rsidRPr="0018553F">
              <w:rPr>
                <w:rFonts w:ascii="Calibri" w:hAnsi="Calibri" w:cs="Calibri"/>
                <w:color w:val="000000"/>
                <w:sz w:val="20"/>
                <w:szCs w:val="20"/>
              </w:rPr>
              <w:t xml:space="preserve"> €</w:t>
            </w:r>
          </w:p>
        </w:tc>
      </w:tr>
      <w:tr w:rsidR="005C2C3D" w:rsidRPr="00E21483" w14:paraId="613ABA99" w14:textId="77777777" w:rsidTr="005C2C3D">
        <w:trPr>
          <w:trHeight w:val="369"/>
        </w:trPr>
        <w:tc>
          <w:tcPr>
            <w:tcW w:w="2520" w:type="dxa"/>
            <w:tcBorders>
              <w:top w:val="nil"/>
              <w:left w:val="single" w:sz="12" w:space="0" w:color="auto"/>
              <w:bottom w:val="single" w:sz="4" w:space="0" w:color="auto"/>
              <w:right w:val="single" w:sz="12" w:space="0" w:color="auto"/>
            </w:tcBorders>
            <w:shd w:val="clear" w:color="auto" w:fill="auto"/>
            <w:noWrap/>
            <w:vAlign w:val="bottom"/>
            <w:hideMark/>
          </w:tcPr>
          <w:p w14:paraId="5BB642CD" w14:textId="64D486FD" w:rsidR="005C2C3D" w:rsidRPr="00E21483" w:rsidRDefault="005C2C3D" w:rsidP="002B49A0">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Verejná</w:t>
            </w:r>
            <w:r w:rsidRPr="00E21483">
              <w:rPr>
                <w:rFonts w:ascii="Calibri" w:eastAsia="Times New Roman" w:hAnsi="Calibri" w:cs="Calibri"/>
                <w:color w:val="000000"/>
                <w:sz w:val="20"/>
                <w:szCs w:val="20"/>
                <w:lang w:eastAsia="sk-SK"/>
              </w:rPr>
              <w:t xml:space="preserve"> podpora (40 %</w:t>
            </w:r>
            <w:r>
              <w:rPr>
                <w:rFonts w:ascii="Calibri" w:eastAsia="Times New Roman" w:hAnsi="Calibri" w:cs="Calibri"/>
                <w:color w:val="000000"/>
                <w:sz w:val="20"/>
                <w:szCs w:val="20"/>
                <w:lang w:eastAsia="sk-SK"/>
              </w:rPr>
              <w:t xml:space="preserve"> / 45 % / 50 %</w:t>
            </w:r>
            <w:r w:rsidRPr="00E21483">
              <w:rPr>
                <w:rFonts w:ascii="Calibri" w:eastAsia="Times New Roman" w:hAnsi="Calibri" w:cs="Calibri"/>
                <w:color w:val="000000"/>
                <w:sz w:val="20"/>
                <w:szCs w:val="20"/>
                <w:lang w:eastAsia="sk-SK"/>
              </w:rPr>
              <w:t>)</w:t>
            </w:r>
          </w:p>
        </w:tc>
        <w:tc>
          <w:tcPr>
            <w:tcW w:w="3561"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14:paraId="7A2DA496" w14:textId="0DE9E203"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sidRPr="0018553F">
              <w:rPr>
                <w:rFonts w:ascii="Calibri" w:hAnsi="Calibri" w:cs="Calibri"/>
                <w:color w:val="000000"/>
                <w:sz w:val="20"/>
                <w:szCs w:val="20"/>
              </w:rPr>
              <w:t>100</w:t>
            </w:r>
            <w:r>
              <w:rPr>
                <w:rFonts w:ascii="Calibri" w:hAnsi="Calibri" w:cs="Calibri"/>
                <w:color w:val="000000"/>
                <w:sz w:val="20"/>
                <w:szCs w:val="20"/>
              </w:rPr>
              <w:t> 002 957</w:t>
            </w:r>
            <w:r w:rsidRPr="0018553F">
              <w:rPr>
                <w:rFonts w:ascii="Calibri" w:hAnsi="Calibri" w:cs="Calibri"/>
                <w:color w:val="000000"/>
                <w:sz w:val="20"/>
                <w:szCs w:val="20"/>
              </w:rPr>
              <w:t xml:space="preserve"> €</w:t>
            </w:r>
          </w:p>
        </w:tc>
        <w:tc>
          <w:tcPr>
            <w:tcW w:w="2976" w:type="dxa"/>
            <w:tcBorders>
              <w:top w:val="nil"/>
              <w:left w:val="single" w:sz="12" w:space="0" w:color="auto"/>
              <w:bottom w:val="single" w:sz="4" w:space="0" w:color="auto"/>
              <w:right w:val="single" w:sz="12" w:space="0" w:color="auto"/>
            </w:tcBorders>
            <w:shd w:val="clear" w:color="auto" w:fill="FFFFFF" w:themeFill="background1"/>
            <w:noWrap/>
            <w:vAlign w:val="center"/>
            <w:hideMark/>
          </w:tcPr>
          <w:p w14:paraId="441000D5" w14:textId="1837F5CB"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100 002 959</w:t>
            </w:r>
            <w:r w:rsidRPr="0018553F">
              <w:rPr>
                <w:rFonts w:ascii="Calibri" w:hAnsi="Calibri" w:cs="Calibri"/>
                <w:color w:val="000000"/>
                <w:sz w:val="20"/>
                <w:szCs w:val="20"/>
              </w:rPr>
              <w:t xml:space="preserve"> €</w:t>
            </w:r>
          </w:p>
        </w:tc>
      </w:tr>
      <w:tr w:rsidR="005C2C3D" w:rsidRPr="00E21483" w14:paraId="769FD98A" w14:textId="77777777" w:rsidTr="005C2C3D">
        <w:trPr>
          <w:trHeight w:val="369"/>
        </w:trPr>
        <w:tc>
          <w:tcPr>
            <w:tcW w:w="2520" w:type="dxa"/>
            <w:tcBorders>
              <w:top w:val="nil"/>
              <w:left w:val="single" w:sz="12" w:space="0" w:color="auto"/>
              <w:bottom w:val="single" w:sz="12" w:space="0" w:color="auto"/>
              <w:right w:val="single" w:sz="12" w:space="0" w:color="auto"/>
            </w:tcBorders>
            <w:shd w:val="clear" w:color="auto" w:fill="auto"/>
            <w:noWrap/>
            <w:vAlign w:val="bottom"/>
            <w:hideMark/>
          </w:tcPr>
          <w:p w14:paraId="25157359" w14:textId="77777777" w:rsidR="005C2C3D" w:rsidRPr="00E21483" w:rsidRDefault="005C2C3D" w:rsidP="002B49A0">
            <w:pPr>
              <w:spacing w:after="0" w:line="240" w:lineRule="auto"/>
              <w:rPr>
                <w:rFonts w:ascii="Calibri" w:eastAsia="Times New Roman" w:hAnsi="Calibri" w:cs="Calibri"/>
                <w:color w:val="000000"/>
                <w:sz w:val="20"/>
                <w:szCs w:val="20"/>
                <w:lang w:eastAsia="sk-SK"/>
              </w:rPr>
            </w:pPr>
            <w:r w:rsidRPr="00E21483">
              <w:rPr>
                <w:rFonts w:ascii="Calibri" w:eastAsia="Times New Roman" w:hAnsi="Calibri" w:cs="Calibri"/>
                <w:color w:val="000000"/>
                <w:sz w:val="20"/>
                <w:szCs w:val="20"/>
                <w:lang w:eastAsia="sk-SK"/>
              </w:rPr>
              <w:t>Počet obnovených RD</w:t>
            </w:r>
          </w:p>
        </w:tc>
        <w:tc>
          <w:tcPr>
            <w:tcW w:w="356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42F6E929" w14:textId="40B72339"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9357</w:t>
            </w:r>
          </w:p>
        </w:tc>
        <w:tc>
          <w:tcPr>
            <w:tcW w:w="2976"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155B9CD8" w14:textId="4046BCB2"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8809</w:t>
            </w:r>
          </w:p>
        </w:tc>
      </w:tr>
      <w:tr w:rsidR="005C2C3D" w:rsidRPr="00E21483" w14:paraId="5A8D235E" w14:textId="77777777" w:rsidTr="005C2C3D">
        <w:trPr>
          <w:trHeight w:val="369"/>
        </w:trPr>
        <w:tc>
          <w:tcPr>
            <w:tcW w:w="2520" w:type="dxa"/>
            <w:vMerge w:val="restart"/>
            <w:tcBorders>
              <w:top w:val="single" w:sz="12" w:space="0" w:color="auto"/>
              <w:left w:val="single" w:sz="12" w:space="0" w:color="auto"/>
              <w:right w:val="single" w:sz="12" w:space="0" w:color="auto"/>
            </w:tcBorders>
            <w:shd w:val="clear" w:color="auto" w:fill="auto"/>
            <w:noWrap/>
            <w:vAlign w:val="center"/>
            <w:hideMark/>
          </w:tcPr>
          <w:p w14:paraId="6D697BB1" w14:textId="77777777" w:rsidR="005C2C3D" w:rsidRPr="00E21483" w:rsidRDefault="005C2C3D" w:rsidP="002B49A0">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Úspora</w:t>
            </w:r>
            <w:r w:rsidRPr="00E21483">
              <w:rPr>
                <w:rFonts w:ascii="Calibri" w:eastAsia="Times New Roman" w:hAnsi="Calibri" w:cs="Calibri"/>
                <w:color w:val="000000"/>
                <w:sz w:val="20"/>
                <w:szCs w:val="20"/>
                <w:lang w:eastAsia="sk-SK"/>
              </w:rPr>
              <w:t xml:space="preserve"> energia </w:t>
            </w:r>
            <w:r>
              <w:rPr>
                <w:rFonts w:ascii="Calibri" w:eastAsia="Times New Roman" w:hAnsi="Calibri" w:cs="Calibri"/>
                <w:color w:val="000000"/>
                <w:sz w:val="20"/>
                <w:szCs w:val="20"/>
                <w:lang w:eastAsia="sk-SK"/>
              </w:rPr>
              <w:t xml:space="preserve">(ročne) </w:t>
            </w:r>
          </w:p>
        </w:tc>
        <w:tc>
          <w:tcPr>
            <w:tcW w:w="3561"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02BB192F" w14:textId="4AE5CB54"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416 266 206</w:t>
            </w:r>
            <w:r w:rsidRPr="0018553F">
              <w:rPr>
                <w:rFonts w:ascii="Calibri" w:hAnsi="Calibri" w:cs="Calibri"/>
                <w:color w:val="000000"/>
                <w:sz w:val="20"/>
                <w:szCs w:val="20"/>
              </w:rPr>
              <w:t xml:space="preserve"> kWh</w:t>
            </w:r>
          </w:p>
        </w:tc>
        <w:tc>
          <w:tcPr>
            <w:tcW w:w="2976"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hideMark/>
          </w:tcPr>
          <w:p w14:paraId="5EC1D87E" w14:textId="222CDFCA"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418 270 046</w:t>
            </w:r>
            <w:r w:rsidRPr="0018553F">
              <w:rPr>
                <w:rFonts w:ascii="Calibri" w:hAnsi="Calibri" w:cs="Calibri"/>
                <w:color w:val="000000"/>
                <w:sz w:val="20"/>
                <w:szCs w:val="20"/>
              </w:rPr>
              <w:t xml:space="preserve"> kWh</w:t>
            </w:r>
          </w:p>
        </w:tc>
      </w:tr>
      <w:tr w:rsidR="005C2C3D" w:rsidRPr="00E21483" w14:paraId="784BDC2C" w14:textId="77777777" w:rsidTr="005C2C3D">
        <w:trPr>
          <w:trHeight w:val="369"/>
        </w:trPr>
        <w:tc>
          <w:tcPr>
            <w:tcW w:w="2520" w:type="dxa"/>
            <w:vMerge/>
            <w:tcBorders>
              <w:left w:val="single" w:sz="12" w:space="0" w:color="auto"/>
              <w:bottom w:val="single" w:sz="12" w:space="0" w:color="auto"/>
              <w:right w:val="single" w:sz="12" w:space="0" w:color="auto"/>
            </w:tcBorders>
            <w:shd w:val="clear" w:color="auto" w:fill="auto"/>
            <w:noWrap/>
            <w:vAlign w:val="center"/>
            <w:hideMark/>
          </w:tcPr>
          <w:p w14:paraId="7392AB08" w14:textId="77777777" w:rsidR="005C2C3D" w:rsidRPr="00E21483" w:rsidRDefault="005C2C3D" w:rsidP="002B49A0">
            <w:pPr>
              <w:spacing w:after="0" w:line="240" w:lineRule="auto"/>
              <w:rPr>
                <w:rFonts w:ascii="Calibri" w:eastAsia="Times New Roman" w:hAnsi="Calibri" w:cs="Calibri"/>
                <w:color w:val="000000"/>
                <w:sz w:val="20"/>
                <w:szCs w:val="20"/>
                <w:lang w:eastAsia="sk-SK"/>
              </w:rPr>
            </w:pPr>
          </w:p>
        </w:tc>
        <w:tc>
          <w:tcPr>
            <w:tcW w:w="3561"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5CB84299" w14:textId="7D5A03A6"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sidRPr="0018553F">
              <w:rPr>
                <w:rFonts w:ascii="Calibri" w:hAnsi="Calibri" w:cs="Calibri"/>
                <w:color w:val="000000"/>
                <w:sz w:val="20"/>
                <w:szCs w:val="20"/>
              </w:rPr>
              <w:t>4</w:t>
            </w:r>
            <w:r>
              <w:rPr>
                <w:rFonts w:ascii="Calibri" w:hAnsi="Calibri" w:cs="Calibri"/>
                <w:color w:val="000000"/>
                <w:sz w:val="20"/>
                <w:szCs w:val="20"/>
              </w:rPr>
              <w:t xml:space="preserve">16,27 </w:t>
            </w:r>
            <w:r w:rsidRPr="0018553F">
              <w:rPr>
                <w:rFonts w:ascii="Calibri" w:hAnsi="Calibri" w:cs="Calibri"/>
                <w:color w:val="000000"/>
                <w:sz w:val="20"/>
                <w:szCs w:val="20"/>
              </w:rPr>
              <w:t>GWh</w:t>
            </w:r>
          </w:p>
        </w:tc>
        <w:tc>
          <w:tcPr>
            <w:tcW w:w="2976" w:type="dxa"/>
            <w:tcBorders>
              <w:top w:val="nil"/>
              <w:left w:val="single" w:sz="12" w:space="0" w:color="auto"/>
              <w:bottom w:val="single" w:sz="12" w:space="0" w:color="auto"/>
              <w:right w:val="single" w:sz="12" w:space="0" w:color="auto"/>
            </w:tcBorders>
            <w:shd w:val="clear" w:color="auto" w:fill="FFFFFF" w:themeFill="background1"/>
            <w:noWrap/>
            <w:vAlign w:val="center"/>
            <w:hideMark/>
          </w:tcPr>
          <w:p w14:paraId="23DFC89E" w14:textId="349B8140"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418,27</w:t>
            </w:r>
            <w:r w:rsidRPr="0018553F">
              <w:rPr>
                <w:rFonts w:ascii="Calibri" w:hAnsi="Calibri" w:cs="Calibri"/>
                <w:color w:val="000000"/>
                <w:sz w:val="20"/>
                <w:szCs w:val="20"/>
              </w:rPr>
              <w:t xml:space="preserve"> GWh</w:t>
            </w:r>
          </w:p>
        </w:tc>
      </w:tr>
      <w:tr w:rsidR="005C2C3D" w:rsidRPr="00E21483" w14:paraId="7FE1F7B2" w14:textId="77777777" w:rsidTr="005C2C3D">
        <w:trPr>
          <w:trHeight w:val="369"/>
        </w:trPr>
        <w:tc>
          <w:tcPr>
            <w:tcW w:w="2520"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14A762E" w14:textId="77777777" w:rsidR="005C2C3D" w:rsidRPr="00E21483" w:rsidRDefault="005C2C3D" w:rsidP="005C2C3D">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Zníženie</w:t>
            </w:r>
            <w:r w:rsidRPr="00E21483">
              <w:rPr>
                <w:rFonts w:ascii="Calibri" w:eastAsia="Times New Roman" w:hAnsi="Calibri" w:cs="Calibri"/>
                <w:color w:val="000000"/>
                <w:sz w:val="20"/>
                <w:szCs w:val="20"/>
                <w:lang w:eastAsia="sk-SK"/>
              </w:rPr>
              <w:t xml:space="preserve"> emis</w:t>
            </w:r>
            <w:r>
              <w:rPr>
                <w:rFonts w:ascii="Calibri" w:eastAsia="Times New Roman" w:hAnsi="Calibri" w:cs="Calibri"/>
                <w:color w:val="000000"/>
                <w:sz w:val="20"/>
                <w:szCs w:val="20"/>
                <w:lang w:eastAsia="sk-SK"/>
              </w:rPr>
              <w:t>ií</w:t>
            </w:r>
            <w:r w:rsidRPr="00E21483">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CO</w:t>
            </w:r>
            <w:r>
              <w:rPr>
                <w:rFonts w:ascii="Calibri" w:eastAsia="Times New Roman" w:hAnsi="Calibri" w:cs="Calibri"/>
                <w:color w:val="000000"/>
                <w:sz w:val="20"/>
                <w:szCs w:val="20"/>
                <w:vertAlign w:val="subscript"/>
                <w:lang w:eastAsia="sk-SK"/>
              </w:rPr>
              <w:t>2</w:t>
            </w:r>
            <w:r>
              <w:rPr>
                <w:rFonts w:ascii="Calibri" w:eastAsia="Times New Roman" w:hAnsi="Calibri" w:cs="Calibri"/>
                <w:color w:val="000000"/>
                <w:sz w:val="20"/>
                <w:szCs w:val="20"/>
                <w:lang w:eastAsia="sk-SK"/>
              </w:rPr>
              <w:t xml:space="preserve"> (ročne)</w:t>
            </w:r>
          </w:p>
        </w:tc>
        <w:tc>
          <w:tcPr>
            <w:tcW w:w="3561"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14:paraId="70A46F4A" w14:textId="19333651" w:rsidR="005C2C3D" w:rsidRPr="0018553F" w:rsidRDefault="005C2C3D" w:rsidP="005C2C3D">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60 632 051</w:t>
            </w:r>
            <w:r w:rsidRPr="0018553F">
              <w:rPr>
                <w:rFonts w:ascii="Calibri" w:hAnsi="Calibri" w:cs="Calibri"/>
                <w:color w:val="000000"/>
                <w:sz w:val="20"/>
                <w:szCs w:val="20"/>
              </w:rPr>
              <w:t xml:space="preserve"> kg</w:t>
            </w:r>
          </w:p>
        </w:tc>
        <w:tc>
          <w:tcPr>
            <w:tcW w:w="2976"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center"/>
          </w:tcPr>
          <w:p w14:paraId="6F4E6D01" w14:textId="5CB77131" w:rsidR="005C2C3D" w:rsidRPr="0018553F" w:rsidRDefault="005C2C3D" w:rsidP="005C2C3D">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 xml:space="preserve">55 428 914,28 </w:t>
            </w:r>
            <w:r w:rsidRPr="0018553F">
              <w:rPr>
                <w:rFonts w:ascii="Calibri" w:hAnsi="Calibri" w:cs="Calibri"/>
                <w:color w:val="000000"/>
                <w:sz w:val="20"/>
                <w:szCs w:val="20"/>
              </w:rPr>
              <w:t>kg</w:t>
            </w:r>
          </w:p>
        </w:tc>
      </w:tr>
      <w:tr w:rsidR="005C2C3D" w:rsidRPr="00E21483" w14:paraId="73A766D4" w14:textId="77777777" w:rsidTr="005C2C3D">
        <w:trPr>
          <w:trHeight w:val="369"/>
        </w:trPr>
        <w:tc>
          <w:tcPr>
            <w:tcW w:w="2520" w:type="dxa"/>
            <w:vMerge/>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1AE86998" w14:textId="77777777" w:rsidR="005C2C3D" w:rsidRPr="00E21483" w:rsidRDefault="005C2C3D" w:rsidP="002B49A0">
            <w:pPr>
              <w:spacing w:after="0" w:line="240" w:lineRule="auto"/>
              <w:rPr>
                <w:rFonts w:ascii="Calibri" w:eastAsia="Times New Roman" w:hAnsi="Calibri" w:cs="Calibri"/>
                <w:color w:val="000000"/>
                <w:sz w:val="20"/>
                <w:szCs w:val="20"/>
                <w:lang w:eastAsia="sk-SK"/>
              </w:rPr>
            </w:pPr>
          </w:p>
        </w:tc>
        <w:tc>
          <w:tcPr>
            <w:tcW w:w="3561" w:type="dxa"/>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14:paraId="61279E7E" w14:textId="7A0E7CF1"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60 632,05</w:t>
            </w:r>
            <w:r w:rsidRPr="0018553F">
              <w:rPr>
                <w:rFonts w:ascii="Calibri" w:hAnsi="Calibri" w:cs="Calibri"/>
                <w:color w:val="000000"/>
                <w:sz w:val="20"/>
                <w:szCs w:val="20"/>
              </w:rPr>
              <w:t xml:space="preserve"> t</w:t>
            </w:r>
          </w:p>
        </w:tc>
        <w:tc>
          <w:tcPr>
            <w:tcW w:w="2976" w:type="dxa"/>
            <w:tcBorders>
              <w:top w:val="single" w:sz="4" w:space="0" w:color="auto"/>
              <w:left w:val="single" w:sz="12" w:space="0" w:color="auto"/>
              <w:bottom w:val="single" w:sz="12" w:space="0" w:color="auto"/>
              <w:right w:val="single" w:sz="12" w:space="0" w:color="auto"/>
            </w:tcBorders>
            <w:shd w:val="clear" w:color="auto" w:fill="FFFFFF" w:themeFill="background1"/>
            <w:noWrap/>
            <w:vAlign w:val="center"/>
          </w:tcPr>
          <w:p w14:paraId="47F84368" w14:textId="4D7A8E0E" w:rsidR="005C2C3D" w:rsidRPr="0018553F" w:rsidRDefault="005C2C3D" w:rsidP="002B49A0">
            <w:pPr>
              <w:spacing w:after="0" w:line="240" w:lineRule="auto"/>
              <w:jc w:val="center"/>
              <w:rPr>
                <w:rFonts w:ascii="Calibri" w:eastAsia="Times New Roman" w:hAnsi="Calibri" w:cs="Calibri"/>
                <w:color w:val="000000"/>
                <w:sz w:val="20"/>
                <w:szCs w:val="20"/>
                <w:lang w:eastAsia="sk-SK"/>
              </w:rPr>
            </w:pPr>
            <w:r>
              <w:rPr>
                <w:rFonts w:ascii="Calibri" w:hAnsi="Calibri" w:cs="Calibri"/>
                <w:color w:val="000000"/>
                <w:sz w:val="20"/>
                <w:szCs w:val="20"/>
              </w:rPr>
              <w:t>55 428,91</w:t>
            </w:r>
            <w:r w:rsidRPr="0018553F">
              <w:rPr>
                <w:rFonts w:ascii="Calibri" w:hAnsi="Calibri" w:cs="Calibri"/>
                <w:color w:val="000000"/>
                <w:sz w:val="20"/>
                <w:szCs w:val="20"/>
              </w:rPr>
              <w:t xml:space="preserve"> t</w:t>
            </w:r>
          </w:p>
        </w:tc>
      </w:tr>
    </w:tbl>
    <w:p w14:paraId="0B8ECBD9" w14:textId="002F0DCA" w:rsidR="007F2994" w:rsidRDefault="007F2994" w:rsidP="009C24CB"/>
    <w:p w14:paraId="2830BC93" w14:textId="70BF2419" w:rsidR="007F2994" w:rsidRDefault="007F2994" w:rsidP="009C24CB"/>
    <w:p w14:paraId="6FD8D35B" w14:textId="6C31490F" w:rsidR="007F2994" w:rsidRDefault="007F2994" w:rsidP="009C24CB"/>
    <w:p w14:paraId="39CCC028" w14:textId="7EF4942C" w:rsidR="007F2994" w:rsidRDefault="007F2994" w:rsidP="009C24CB"/>
    <w:p w14:paraId="07E54D6E" w14:textId="02D828BE" w:rsidR="007F2994" w:rsidRDefault="007F2994" w:rsidP="009C24CB"/>
    <w:p w14:paraId="399FA1D8" w14:textId="3C10A460" w:rsidR="007F2994" w:rsidRDefault="007F2994" w:rsidP="009C24CB"/>
    <w:p w14:paraId="657EDD9A" w14:textId="4F0837E8" w:rsidR="007F2994" w:rsidRDefault="007F2994" w:rsidP="009C24CB"/>
    <w:p w14:paraId="0955ACC1" w14:textId="36D12A0D" w:rsidR="007F2994" w:rsidRDefault="007F2994" w:rsidP="009C24CB"/>
    <w:p w14:paraId="11470892" w14:textId="6D208654" w:rsidR="007F2994" w:rsidRDefault="007F2994" w:rsidP="009C24CB"/>
    <w:p w14:paraId="13CE34B0" w14:textId="68C7F444" w:rsidR="007F2994" w:rsidRDefault="007F2994" w:rsidP="009C24CB"/>
    <w:p w14:paraId="59F2B49C" w14:textId="4F07B1B1" w:rsidR="007F2994" w:rsidRDefault="007F2994" w:rsidP="009C24CB"/>
    <w:p w14:paraId="7538B827" w14:textId="1BFD9CBE" w:rsidR="007F2994" w:rsidRDefault="007F2994" w:rsidP="009C24CB"/>
    <w:p w14:paraId="6B72E024" w14:textId="310DAAFB" w:rsidR="007F2994" w:rsidRDefault="007F2994" w:rsidP="009C24CB"/>
    <w:p w14:paraId="74653A38" w14:textId="6A776AC8" w:rsidR="007F2994" w:rsidRDefault="007F2994" w:rsidP="009C24CB"/>
    <w:p w14:paraId="02485EFD" w14:textId="2D70CBB4" w:rsidR="007F2994" w:rsidRDefault="007F2994" w:rsidP="009C24CB"/>
    <w:p w14:paraId="5B439048" w14:textId="4A030D78" w:rsidR="007F2994" w:rsidRDefault="007F2994" w:rsidP="009C24CB"/>
    <w:p w14:paraId="7228A356" w14:textId="1C0F05EB" w:rsidR="007F2994" w:rsidRDefault="007F2994" w:rsidP="009C24CB"/>
    <w:p w14:paraId="0762BC9A" w14:textId="71EA0435" w:rsidR="007F2994" w:rsidRDefault="007F2994" w:rsidP="009C24CB"/>
    <w:p w14:paraId="39B06229" w14:textId="3EB290F1" w:rsidR="007F2994" w:rsidRDefault="007F2994" w:rsidP="009C24CB"/>
    <w:p w14:paraId="636F436B" w14:textId="3E7A3FDB" w:rsidR="007F2994" w:rsidRDefault="007F2994" w:rsidP="009C24CB"/>
    <w:p w14:paraId="72F0822E" w14:textId="0FBF25CF" w:rsidR="007F2994" w:rsidRDefault="007F2994" w:rsidP="009C24CB"/>
    <w:p w14:paraId="331A3CDC" w14:textId="109D826A" w:rsidR="007F2994" w:rsidRDefault="007F2994" w:rsidP="009C24CB"/>
    <w:p w14:paraId="5CA918DB" w14:textId="0F83DC85" w:rsidR="0066306F" w:rsidRDefault="0066306F" w:rsidP="0066306F">
      <w:pPr>
        <w:pStyle w:val="Nadpis1"/>
      </w:pPr>
      <w:bookmarkStart w:id="23" w:name="_Toc62576782"/>
      <w:r>
        <w:lastRenderedPageBreak/>
        <w:t>Makroekonomický vplyv investícií</w:t>
      </w:r>
      <w:bookmarkEnd w:id="23"/>
      <w:r>
        <w:t xml:space="preserve"> </w:t>
      </w:r>
    </w:p>
    <w:p w14:paraId="06F9BC04" w14:textId="7FEBA600" w:rsidR="005526E6" w:rsidRPr="005526E6" w:rsidRDefault="005526E6" w:rsidP="006110E0">
      <w:pPr>
        <w:jc w:val="both"/>
        <w:rPr>
          <w:rFonts w:ascii="Calibri" w:eastAsia="Times New Roman" w:hAnsi="Calibri" w:cs="Calibri"/>
          <w:i/>
          <w:iCs/>
          <w:color w:val="000000"/>
          <w:lang w:eastAsia="sk-SK"/>
        </w:rPr>
      </w:pPr>
      <w:r w:rsidRPr="005526E6">
        <w:rPr>
          <w:i/>
          <w:iCs/>
        </w:rPr>
        <w:t xml:space="preserve">Výpočet makroekonomických vplyvov </w:t>
      </w:r>
      <w:r w:rsidR="00EC50F5">
        <w:rPr>
          <w:i/>
          <w:iCs/>
        </w:rPr>
        <w:t>je založený na</w:t>
      </w:r>
      <w:r w:rsidRPr="005526E6">
        <w:rPr>
          <w:i/>
          <w:iCs/>
        </w:rPr>
        <w:t xml:space="preserve"> metodik</w:t>
      </w:r>
      <w:r w:rsidR="00EC50F5">
        <w:rPr>
          <w:i/>
          <w:iCs/>
        </w:rPr>
        <w:t xml:space="preserve">e, ktorá bola použitá </w:t>
      </w:r>
      <w:r w:rsidRPr="005526E6">
        <w:rPr>
          <w:i/>
          <w:iCs/>
        </w:rPr>
        <w:t>v štúdii „Makroekonomické dopady investícií do hĺbkovej obnovy budov na Slovensku“ [</w:t>
      </w:r>
      <w:r w:rsidR="005B4055">
        <w:rPr>
          <w:i/>
          <w:iCs/>
        </w:rPr>
        <w:t>10</w:t>
      </w:r>
      <w:r w:rsidR="00EE2892">
        <w:rPr>
          <w:i/>
          <w:iCs/>
        </w:rPr>
        <w:t>].</w:t>
      </w:r>
      <w:r w:rsidRPr="005526E6">
        <w:rPr>
          <w:i/>
          <w:iCs/>
        </w:rPr>
        <w:t xml:space="preserve"> </w:t>
      </w:r>
    </w:p>
    <w:p w14:paraId="41DBF6D1" w14:textId="1A231323" w:rsidR="005526E6" w:rsidRPr="005526E6" w:rsidRDefault="005526E6" w:rsidP="005526E6">
      <w:pPr>
        <w:jc w:val="both"/>
        <w:rPr>
          <w:rFonts w:ascii="Calibri" w:eastAsia="Times New Roman" w:hAnsi="Calibri" w:cs="Calibri"/>
          <w:color w:val="000000"/>
          <w:lang w:eastAsia="sk-SK"/>
        </w:rPr>
      </w:pPr>
      <w:r>
        <w:rPr>
          <w:rFonts w:ascii="Calibri" w:eastAsia="Times New Roman" w:hAnsi="Calibri" w:cs="Calibri"/>
          <w:color w:val="000000"/>
          <w:lang w:eastAsia="sk-SK"/>
        </w:rPr>
        <w:t>V rámci makroekonomických vplyvov bol</w:t>
      </w:r>
      <w:r w:rsidR="00EC50F5">
        <w:rPr>
          <w:rFonts w:ascii="Calibri" w:eastAsia="Times New Roman" w:hAnsi="Calibri" w:cs="Calibri"/>
          <w:color w:val="000000"/>
          <w:lang w:eastAsia="sk-SK"/>
        </w:rPr>
        <w:t xml:space="preserve"> hodnotený dopad na HDP, počet novovytvorených pracovných miest a prínosy do verejného rozpočtu v podobe daní, odvodov a ušetrených sociálnych transferov. Nasledujúca tabuľka popisuje súhrnné </w:t>
      </w:r>
      <w:r w:rsidR="00EC50F5">
        <w:rPr>
          <w:rFonts w:ascii="Calibri" w:eastAsia="Calibri" w:hAnsi="Calibri" w:cs="Times New Roman"/>
        </w:rPr>
        <w:t>makroekonomické vplyvy dvoch variantov.</w:t>
      </w:r>
    </w:p>
    <w:p w14:paraId="2A198EDD" w14:textId="6FE9E704" w:rsidR="006110E0" w:rsidRPr="00EE2892" w:rsidRDefault="00EE2892" w:rsidP="00E43F26">
      <w:pPr>
        <w:jc w:val="both"/>
        <w:rPr>
          <w:rFonts w:ascii="Calibri" w:eastAsia="Times New Roman" w:hAnsi="Calibri" w:cs="Calibri"/>
          <w:bCs/>
          <w:i/>
          <w:iCs/>
          <w:color w:val="000000"/>
          <w:lang w:eastAsia="sk-SK"/>
        </w:rPr>
      </w:pPr>
      <w:r w:rsidRPr="00EE2892">
        <w:rPr>
          <w:rFonts w:ascii="Calibri" w:eastAsia="Calibri" w:hAnsi="Calibri" w:cs="Times New Roman"/>
          <w:bCs/>
          <w:i/>
          <w:iCs/>
        </w:rPr>
        <w:t>Tab. 3</w:t>
      </w:r>
      <w:r w:rsidR="009D46B3">
        <w:rPr>
          <w:rFonts w:ascii="Calibri" w:eastAsia="Calibri" w:hAnsi="Calibri" w:cs="Times New Roman"/>
          <w:bCs/>
          <w:i/>
          <w:iCs/>
        </w:rPr>
        <w:t>4</w:t>
      </w:r>
      <w:r w:rsidR="00E43F26" w:rsidRPr="00EE2892">
        <w:rPr>
          <w:rFonts w:ascii="Calibri" w:eastAsia="Calibri" w:hAnsi="Calibri" w:cs="Times New Roman"/>
          <w:bCs/>
          <w:i/>
          <w:iCs/>
        </w:rPr>
        <w:t xml:space="preserve">: Makroekonomický vplyv investícií do obnovy rodinných domov v dvoch </w:t>
      </w:r>
      <w:r w:rsidR="005C2C3D">
        <w:rPr>
          <w:rFonts w:ascii="Calibri" w:eastAsia="Calibri" w:hAnsi="Calibri" w:cs="Times New Roman"/>
          <w:bCs/>
          <w:i/>
          <w:iCs/>
        </w:rPr>
        <w:t>scenároch</w:t>
      </w:r>
    </w:p>
    <w:tbl>
      <w:tblPr>
        <w:tblStyle w:val="Mkatabulky"/>
        <w:tblW w:w="0" w:type="auto"/>
        <w:tblLook w:val="04A0" w:firstRow="1" w:lastRow="0" w:firstColumn="1" w:lastColumn="0" w:noHBand="0" w:noVBand="1"/>
      </w:tblPr>
      <w:tblGrid>
        <w:gridCol w:w="2258"/>
        <w:gridCol w:w="3397"/>
        <w:gridCol w:w="3261"/>
      </w:tblGrid>
      <w:tr w:rsidR="005C2C3D" w14:paraId="4EF40521" w14:textId="1FA658E0" w:rsidTr="005C2C3D">
        <w:trPr>
          <w:trHeight w:val="450"/>
        </w:trPr>
        <w:tc>
          <w:tcPr>
            <w:tcW w:w="2258" w:type="dxa"/>
            <w:tcBorders>
              <w:top w:val="single" w:sz="12" w:space="0" w:color="auto"/>
              <w:left w:val="single" w:sz="12" w:space="0" w:color="auto"/>
              <w:right w:val="single" w:sz="12" w:space="0" w:color="auto"/>
            </w:tcBorders>
            <w:vAlign w:val="bottom"/>
          </w:tcPr>
          <w:p w14:paraId="171D8F44" w14:textId="77777777" w:rsidR="005C2C3D" w:rsidRDefault="005C2C3D" w:rsidP="00E43F26">
            <w:pPr>
              <w:spacing w:before="80" w:after="80"/>
              <w:jc w:val="both"/>
              <w:rPr>
                <w:rFonts w:cs="Calibri"/>
                <w:color w:val="000000"/>
              </w:rPr>
            </w:pPr>
          </w:p>
        </w:tc>
        <w:tc>
          <w:tcPr>
            <w:tcW w:w="3397" w:type="dxa"/>
            <w:tcBorders>
              <w:top w:val="single" w:sz="12" w:space="0" w:color="auto"/>
              <w:left w:val="single" w:sz="12" w:space="0" w:color="auto"/>
              <w:right w:val="single" w:sz="12" w:space="0" w:color="auto"/>
            </w:tcBorders>
            <w:vAlign w:val="center"/>
          </w:tcPr>
          <w:p w14:paraId="640DD3A8" w14:textId="5E670F5A" w:rsidR="005C2C3D" w:rsidRPr="00377294" w:rsidRDefault="005C2C3D" w:rsidP="00E43F26">
            <w:pPr>
              <w:spacing w:before="80" w:after="80"/>
              <w:jc w:val="center"/>
              <w:rPr>
                <w:rFonts w:cs="Calibri"/>
                <w:b/>
                <w:bCs/>
                <w:color w:val="000000"/>
              </w:rPr>
            </w:pPr>
            <w:r>
              <w:rPr>
                <w:rFonts w:cs="Calibri"/>
                <w:b/>
                <w:bCs/>
                <w:color w:val="000000"/>
              </w:rPr>
              <w:t xml:space="preserve">Základný scenár </w:t>
            </w:r>
          </w:p>
        </w:tc>
        <w:tc>
          <w:tcPr>
            <w:tcW w:w="3261" w:type="dxa"/>
            <w:tcBorders>
              <w:top w:val="single" w:sz="12" w:space="0" w:color="auto"/>
              <w:left w:val="single" w:sz="12" w:space="0" w:color="auto"/>
              <w:right w:val="single" w:sz="12" w:space="0" w:color="auto"/>
            </w:tcBorders>
            <w:vAlign w:val="center"/>
          </w:tcPr>
          <w:p w14:paraId="017DB777" w14:textId="32C4D766" w:rsidR="005C2C3D" w:rsidRPr="00377294" w:rsidRDefault="005C2C3D" w:rsidP="00E43F26">
            <w:pPr>
              <w:spacing w:before="80" w:after="80"/>
              <w:jc w:val="center"/>
              <w:rPr>
                <w:rFonts w:cs="Calibri"/>
                <w:b/>
                <w:bCs/>
                <w:color w:val="000000"/>
              </w:rPr>
            </w:pPr>
            <w:r>
              <w:rPr>
                <w:rFonts w:cs="Calibri"/>
                <w:b/>
                <w:bCs/>
                <w:color w:val="000000"/>
              </w:rPr>
              <w:t xml:space="preserve">Ambiciózny scenár </w:t>
            </w:r>
          </w:p>
        </w:tc>
      </w:tr>
      <w:tr w:rsidR="005C2C3D" w14:paraId="3A525DA2" w14:textId="29C127B4" w:rsidTr="005C2C3D">
        <w:tc>
          <w:tcPr>
            <w:tcW w:w="2258" w:type="dxa"/>
            <w:tcBorders>
              <w:left w:val="single" w:sz="12" w:space="0" w:color="auto"/>
              <w:right w:val="single" w:sz="12" w:space="0" w:color="auto"/>
            </w:tcBorders>
            <w:vAlign w:val="bottom"/>
          </w:tcPr>
          <w:p w14:paraId="413A454C" w14:textId="111D5C9E" w:rsidR="005C2C3D" w:rsidRDefault="005C2C3D" w:rsidP="00E43F26">
            <w:pPr>
              <w:spacing w:before="80" w:after="80"/>
              <w:jc w:val="both"/>
              <w:rPr>
                <w:rFonts w:cs="Calibri"/>
                <w:color w:val="000000"/>
              </w:rPr>
            </w:pPr>
            <w:r>
              <w:rPr>
                <w:rFonts w:cs="Calibri"/>
                <w:color w:val="000000"/>
              </w:rPr>
              <w:t>Celkové investície</w:t>
            </w:r>
          </w:p>
        </w:tc>
        <w:tc>
          <w:tcPr>
            <w:tcW w:w="3397" w:type="dxa"/>
            <w:tcBorders>
              <w:left w:val="single" w:sz="12" w:space="0" w:color="auto"/>
              <w:right w:val="single" w:sz="12" w:space="0" w:color="auto"/>
            </w:tcBorders>
            <w:vAlign w:val="center"/>
          </w:tcPr>
          <w:p w14:paraId="73814AB3" w14:textId="1BDED128" w:rsidR="005C2C3D" w:rsidRDefault="005C2C3D" w:rsidP="00E43F26">
            <w:pPr>
              <w:spacing w:before="80" w:after="80"/>
              <w:jc w:val="center"/>
              <w:rPr>
                <w:rFonts w:cs="Calibri"/>
                <w:color w:val="000000"/>
              </w:rPr>
            </w:pPr>
            <w:r>
              <w:rPr>
                <w:rFonts w:cs="Calibri"/>
                <w:color w:val="000000"/>
              </w:rPr>
              <w:t>227,4 mil. €</w:t>
            </w:r>
          </w:p>
        </w:tc>
        <w:tc>
          <w:tcPr>
            <w:tcW w:w="3261" w:type="dxa"/>
            <w:tcBorders>
              <w:left w:val="single" w:sz="12" w:space="0" w:color="auto"/>
              <w:right w:val="single" w:sz="12" w:space="0" w:color="auto"/>
            </w:tcBorders>
            <w:vAlign w:val="center"/>
          </w:tcPr>
          <w:p w14:paraId="421BA9EA" w14:textId="3019CFED" w:rsidR="005C2C3D" w:rsidRDefault="005C2C3D" w:rsidP="00E43F26">
            <w:pPr>
              <w:spacing w:before="80" w:after="80"/>
              <w:jc w:val="center"/>
              <w:rPr>
                <w:rFonts w:cs="Calibri"/>
                <w:color w:val="000000"/>
              </w:rPr>
            </w:pPr>
            <w:r>
              <w:rPr>
                <w:rFonts w:cs="Calibri"/>
                <w:color w:val="000000"/>
              </w:rPr>
              <w:t>220,5 mil. €</w:t>
            </w:r>
          </w:p>
        </w:tc>
      </w:tr>
      <w:tr w:rsidR="005C2C3D" w14:paraId="5EE299C0" w14:textId="5D718DAE" w:rsidTr="005C2C3D">
        <w:tc>
          <w:tcPr>
            <w:tcW w:w="2258" w:type="dxa"/>
            <w:tcBorders>
              <w:left w:val="single" w:sz="12" w:space="0" w:color="auto"/>
              <w:bottom w:val="single" w:sz="12" w:space="0" w:color="auto"/>
              <w:right w:val="single" w:sz="12" w:space="0" w:color="auto"/>
            </w:tcBorders>
            <w:vAlign w:val="bottom"/>
          </w:tcPr>
          <w:p w14:paraId="04DEF1B6" w14:textId="7BD806DF" w:rsidR="005C2C3D" w:rsidRDefault="005C2C3D" w:rsidP="00E43F26">
            <w:pPr>
              <w:spacing w:before="80" w:after="80"/>
              <w:jc w:val="both"/>
              <w:rPr>
                <w:rFonts w:cs="Calibri"/>
                <w:color w:val="000000"/>
              </w:rPr>
            </w:pPr>
            <w:r>
              <w:rPr>
                <w:rFonts w:cs="Calibri"/>
                <w:color w:val="000000"/>
              </w:rPr>
              <w:t>Celková podpora štátu</w:t>
            </w:r>
          </w:p>
        </w:tc>
        <w:tc>
          <w:tcPr>
            <w:tcW w:w="3397" w:type="dxa"/>
            <w:tcBorders>
              <w:left w:val="single" w:sz="12" w:space="0" w:color="auto"/>
              <w:bottom w:val="single" w:sz="12" w:space="0" w:color="auto"/>
              <w:right w:val="single" w:sz="12" w:space="0" w:color="auto"/>
            </w:tcBorders>
            <w:vAlign w:val="center"/>
          </w:tcPr>
          <w:p w14:paraId="77EB8F22" w14:textId="680E2627" w:rsidR="005C2C3D" w:rsidRDefault="005C2C3D" w:rsidP="00E43F26">
            <w:pPr>
              <w:spacing w:before="80" w:after="80"/>
              <w:jc w:val="center"/>
              <w:rPr>
                <w:rFonts w:cs="Calibri"/>
                <w:color w:val="000000"/>
              </w:rPr>
            </w:pPr>
            <w:r>
              <w:rPr>
                <w:rFonts w:cs="Calibri"/>
                <w:color w:val="000000"/>
              </w:rPr>
              <w:t>100 mil. €</w:t>
            </w:r>
          </w:p>
        </w:tc>
        <w:tc>
          <w:tcPr>
            <w:tcW w:w="3261" w:type="dxa"/>
            <w:tcBorders>
              <w:left w:val="single" w:sz="12" w:space="0" w:color="auto"/>
              <w:right w:val="single" w:sz="12" w:space="0" w:color="auto"/>
            </w:tcBorders>
            <w:vAlign w:val="center"/>
          </w:tcPr>
          <w:p w14:paraId="22DEF826" w14:textId="25267AD8" w:rsidR="005C2C3D" w:rsidRDefault="005C2C3D" w:rsidP="00E43F26">
            <w:pPr>
              <w:spacing w:before="80" w:after="80"/>
              <w:jc w:val="center"/>
              <w:rPr>
                <w:rFonts w:cs="Calibri"/>
                <w:color w:val="000000"/>
              </w:rPr>
            </w:pPr>
            <w:r>
              <w:rPr>
                <w:rFonts w:cs="Calibri"/>
                <w:color w:val="000000"/>
              </w:rPr>
              <w:t>100 mil. €</w:t>
            </w:r>
          </w:p>
        </w:tc>
      </w:tr>
      <w:tr w:rsidR="005C2C3D" w14:paraId="1B643EB3" w14:textId="2A479CDB" w:rsidTr="005C2C3D">
        <w:trPr>
          <w:trHeight w:val="238"/>
        </w:trPr>
        <w:tc>
          <w:tcPr>
            <w:tcW w:w="8916" w:type="dxa"/>
            <w:gridSpan w:val="3"/>
            <w:tcBorders>
              <w:top w:val="single" w:sz="12" w:space="0" w:color="auto"/>
              <w:left w:val="single" w:sz="12" w:space="0" w:color="auto"/>
              <w:bottom w:val="single" w:sz="12" w:space="0" w:color="auto"/>
              <w:right w:val="single" w:sz="12" w:space="0" w:color="auto"/>
            </w:tcBorders>
            <w:shd w:val="clear" w:color="auto" w:fill="E7E6E6" w:themeFill="background2"/>
            <w:vAlign w:val="bottom"/>
          </w:tcPr>
          <w:p w14:paraId="2A18FB0F" w14:textId="5DADF3DE" w:rsidR="005C2C3D" w:rsidRDefault="005C2C3D" w:rsidP="00CC5D53">
            <w:pPr>
              <w:jc w:val="both"/>
              <w:rPr>
                <w:rFonts w:cs="Calibri"/>
                <w:color w:val="000000"/>
              </w:rPr>
            </w:pPr>
          </w:p>
        </w:tc>
      </w:tr>
      <w:tr w:rsidR="005C2C3D" w14:paraId="242049C1" w14:textId="33B1D5CD" w:rsidTr="005C2C3D">
        <w:tc>
          <w:tcPr>
            <w:tcW w:w="2258" w:type="dxa"/>
            <w:tcBorders>
              <w:top w:val="single" w:sz="12" w:space="0" w:color="auto"/>
              <w:left w:val="single" w:sz="12" w:space="0" w:color="auto"/>
              <w:right w:val="single" w:sz="12" w:space="0" w:color="auto"/>
            </w:tcBorders>
            <w:vAlign w:val="center"/>
          </w:tcPr>
          <w:p w14:paraId="6FC6211B" w14:textId="341E4AC1" w:rsidR="005C2C3D" w:rsidRPr="00E43F26" w:rsidRDefault="005C2C3D" w:rsidP="00E43F26">
            <w:pPr>
              <w:spacing w:before="80" w:after="80"/>
              <w:rPr>
                <w:rFonts w:cs="Calibri"/>
                <w:b/>
                <w:bCs/>
                <w:color w:val="000000"/>
              </w:rPr>
            </w:pPr>
            <w:r w:rsidRPr="00E43F26">
              <w:rPr>
                <w:rFonts w:cs="Calibri"/>
                <w:b/>
                <w:bCs/>
                <w:color w:val="000000"/>
              </w:rPr>
              <w:t>Dopad na HDP</w:t>
            </w:r>
          </w:p>
        </w:tc>
        <w:tc>
          <w:tcPr>
            <w:tcW w:w="3397" w:type="dxa"/>
            <w:tcBorders>
              <w:top w:val="single" w:sz="12" w:space="0" w:color="auto"/>
              <w:left w:val="single" w:sz="12" w:space="0" w:color="auto"/>
              <w:right w:val="single" w:sz="12" w:space="0" w:color="auto"/>
            </w:tcBorders>
            <w:vAlign w:val="center"/>
          </w:tcPr>
          <w:p w14:paraId="1EF0FEF9" w14:textId="1585D4E5" w:rsidR="005C2C3D" w:rsidRPr="00E43F26" w:rsidRDefault="005C2C3D" w:rsidP="00E43F26">
            <w:pPr>
              <w:spacing w:before="80" w:after="80"/>
              <w:jc w:val="center"/>
              <w:rPr>
                <w:rFonts w:cs="Calibri"/>
                <w:b/>
                <w:bCs/>
                <w:color w:val="000000"/>
              </w:rPr>
            </w:pPr>
            <w:r>
              <w:rPr>
                <w:rFonts w:cs="Calibri"/>
                <w:b/>
                <w:bCs/>
                <w:color w:val="000000"/>
              </w:rPr>
              <w:t>296</w:t>
            </w:r>
            <w:r w:rsidRPr="00E43F26">
              <w:rPr>
                <w:rFonts w:cs="Calibri"/>
                <w:b/>
                <w:bCs/>
                <w:color w:val="000000"/>
              </w:rPr>
              <w:t xml:space="preserve"> mil. €</w:t>
            </w:r>
          </w:p>
        </w:tc>
        <w:tc>
          <w:tcPr>
            <w:tcW w:w="3261" w:type="dxa"/>
            <w:tcBorders>
              <w:top w:val="single" w:sz="12" w:space="0" w:color="auto"/>
              <w:left w:val="single" w:sz="12" w:space="0" w:color="auto"/>
              <w:right w:val="single" w:sz="12" w:space="0" w:color="auto"/>
            </w:tcBorders>
            <w:vAlign w:val="center"/>
          </w:tcPr>
          <w:p w14:paraId="1E725B2B" w14:textId="68CEB1F5" w:rsidR="005C2C3D" w:rsidRPr="00E43F26" w:rsidRDefault="005C2C3D" w:rsidP="00E43F26">
            <w:pPr>
              <w:spacing w:before="80" w:after="80"/>
              <w:jc w:val="center"/>
              <w:rPr>
                <w:rFonts w:cs="Calibri"/>
                <w:b/>
                <w:bCs/>
                <w:color w:val="000000"/>
              </w:rPr>
            </w:pPr>
            <w:r>
              <w:rPr>
                <w:rFonts w:cs="Calibri"/>
                <w:b/>
                <w:bCs/>
                <w:color w:val="000000"/>
              </w:rPr>
              <w:t>287</w:t>
            </w:r>
            <w:r w:rsidRPr="00E43F26">
              <w:rPr>
                <w:rFonts w:cs="Calibri"/>
                <w:b/>
                <w:bCs/>
                <w:color w:val="000000"/>
              </w:rPr>
              <w:t xml:space="preserve"> mil. €</w:t>
            </w:r>
          </w:p>
        </w:tc>
      </w:tr>
      <w:tr w:rsidR="005C2C3D" w14:paraId="3A71D9EA" w14:textId="3B57EE4F" w:rsidTr="005C2C3D">
        <w:tc>
          <w:tcPr>
            <w:tcW w:w="2258" w:type="dxa"/>
            <w:tcBorders>
              <w:left w:val="single" w:sz="12" w:space="0" w:color="auto"/>
              <w:right w:val="single" w:sz="12" w:space="0" w:color="auto"/>
            </w:tcBorders>
            <w:vAlign w:val="center"/>
          </w:tcPr>
          <w:p w14:paraId="6E257E75" w14:textId="21E091E4" w:rsidR="005C2C3D" w:rsidRPr="00E43F26" w:rsidRDefault="005C2C3D" w:rsidP="00E43F26">
            <w:pPr>
              <w:spacing w:before="80" w:after="80"/>
              <w:rPr>
                <w:rFonts w:cs="Calibri"/>
                <w:b/>
                <w:bCs/>
                <w:color w:val="000000"/>
              </w:rPr>
            </w:pPr>
            <w:r w:rsidRPr="00E43F26">
              <w:rPr>
                <w:b/>
                <w:bCs/>
              </w:rPr>
              <w:t>Tvorba pracovných miest</w:t>
            </w:r>
          </w:p>
        </w:tc>
        <w:tc>
          <w:tcPr>
            <w:tcW w:w="3397" w:type="dxa"/>
            <w:tcBorders>
              <w:left w:val="single" w:sz="12" w:space="0" w:color="auto"/>
              <w:right w:val="single" w:sz="12" w:space="0" w:color="auto"/>
            </w:tcBorders>
            <w:vAlign w:val="center"/>
          </w:tcPr>
          <w:p w14:paraId="2F713E39" w14:textId="4EDB7933" w:rsidR="005C2C3D" w:rsidRPr="00E43F26" w:rsidRDefault="005C2C3D" w:rsidP="00E43F26">
            <w:pPr>
              <w:spacing w:before="80" w:after="80"/>
              <w:jc w:val="center"/>
              <w:rPr>
                <w:rFonts w:cs="Calibri"/>
                <w:b/>
                <w:bCs/>
                <w:color w:val="000000"/>
              </w:rPr>
            </w:pPr>
            <w:r>
              <w:rPr>
                <w:rFonts w:cs="Calibri"/>
                <w:b/>
                <w:bCs/>
                <w:color w:val="000000"/>
              </w:rPr>
              <w:t>6527</w:t>
            </w:r>
            <w:r w:rsidRPr="00E43F26">
              <w:rPr>
                <w:rFonts w:cs="Calibri"/>
                <w:b/>
                <w:bCs/>
                <w:color w:val="000000"/>
              </w:rPr>
              <w:t xml:space="preserve"> novovytvorených pracovných miest</w:t>
            </w:r>
          </w:p>
        </w:tc>
        <w:tc>
          <w:tcPr>
            <w:tcW w:w="3261" w:type="dxa"/>
            <w:tcBorders>
              <w:left w:val="single" w:sz="12" w:space="0" w:color="auto"/>
              <w:right w:val="single" w:sz="12" w:space="0" w:color="auto"/>
            </w:tcBorders>
            <w:vAlign w:val="center"/>
          </w:tcPr>
          <w:p w14:paraId="266CE3F4" w14:textId="034C6CDC" w:rsidR="005C2C3D" w:rsidRPr="00E43F26" w:rsidRDefault="005C2C3D" w:rsidP="00E43F26">
            <w:pPr>
              <w:spacing w:before="80" w:after="80"/>
              <w:jc w:val="center"/>
              <w:rPr>
                <w:rFonts w:cs="Calibri"/>
                <w:b/>
                <w:bCs/>
                <w:color w:val="000000"/>
              </w:rPr>
            </w:pPr>
            <w:r>
              <w:rPr>
                <w:rFonts w:cs="Calibri"/>
                <w:b/>
                <w:bCs/>
                <w:color w:val="000000"/>
              </w:rPr>
              <w:t>6327</w:t>
            </w:r>
            <w:r w:rsidRPr="00E43F26">
              <w:rPr>
                <w:rFonts w:cs="Calibri"/>
                <w:b/>
                <w:bCs/>
                <w:color w:val="000000"/>
              </w:rPr>
              <w:t xml:space="preserve"> novovytvorených pracovných miest</w:t>
            </w:r>
          </w:p>
        </w:tc>
      </w:tr>
      <w:tr w:rsidR="005C2C3D" w14:paraId="2079C3F7" w14:textId="2E83F5A3" w:rsidTr="005C2C3D">
        <w:tc>
          <w:tcPr>
            <w:tcW w:w="2258" w:type="dxa"/>
            <w:tcBorders>
              <w:left w:val="single" w:sz="12" w:space="0" w:color="auto"/>
              <w:bottom w:val="single" w:sz="12" w:space="0" w:color="auto"/>
              <w:right w:val="single" w:sz="12" w:space="0" w:color="auto"/>
            </w:tcBorders>
            <w:vAlign w:val="center"/>
          </w:tcPr>
          <w:p w14:paraId="0070E8ED" w14:textId="5443C2EB" w:rsidR="005C2C3D" w:rsidRPr="00E43F26" w:rsidRDefault="005C2C3D" w:rsidP="00E43F26">
            <w:pPr>
              <w:spacing w:before="80" w:after="80"/>
              <w:rPr>
                <w:rFonts w:cs="Calibri"/>
                <w:b/>
                <w:bCs/>
                <w:color w:val="000000"/>
              </w:rPr>
            </w:pPr>
            <w:r w:rsidRPr="00E43F26">
              <w:rPr>
                <w:b/>
                <w:bCs/>
              </w:rPr>
              <w:t>Prínosy do verejného rozpočtu</w:t>
            </w:r>
            <w:r>
              <w:rPr>
                <w:b/>
                <w:bCs/>
              </w:rPr>
              <w:t xml:space="preserve"> (ročne)</w:t>
            </w:r>
          </w:p>
        </w:tc>
        <w:tc>
          <w:tcPr>
            <w:tcW w:w="3397" w:type="dxa"/>
            <w:tcBorders>
              <w:left w:val="single" w:sz="12" w:space="0" w:color="auto"/>
              <w:bottom w:val="single" w:sz="12" w:space="0" w:color="auto"/>
              <w:right w:val="single" w:sz="12" w:space="0" w:color="auto"/>
            </w:tcBorders>
            <w:vAlign w:val="center"/>
          </w:tcPr>
          <w:p w14:paraId="06A48233" w14:textId="19ED9737" w:rsidR="005C2C3D" w:rsidRDefault="005C2C3D" w:rsidP="00E43F26">
            <w:pPr>
              <w:spacing w:before="80" w:after="80"/>
              <w:jc w:val="center"/>
              <w:rPr>
                <w:rFonts w:cs="Calibri"/>
                <w:color w:val="000000"/>
              </w:rPr>
            </w:pPr>
            <w:r>
              <w:rPr>
                <w:b/>
                <w:bCs/>
              </w:rPr>
              <w:t>72,787</w:t>
            </w:r>
            <w:r w:rsidRPr="00334977">
              <w:rPr>
                <w:b/>
                <w:bCs/>
              </w:rPr>
              <w:t> </w:t>
            </w:r>
            <w:r>
              <w:rPr>
                <w:b/>
                <w:bCs/>
              </w:rPr>
              <w:t>mil.</w:t>
            </w:r>
            <w:r w:rsidRPr="00334977">
              <w:rPr>
                <w:b/>
                <w:bCs/>
              </w:rPr>
              <w:t xml:space="preserve"> €</w:t>
            </w:r>
          </w:p>
        </w:tc>
        <w:tc>
          <w:tcPr>
            <w:tcW w:w="3261" w:type="dxa"/>
            <w:tcBorders>
              <w:left w:val="single" w:sz="12" w:space="0" w:color="auto"/>
              <w:bottom w:val="single" w:sz="12" w:space="0" w:color="auto"/>
              <w:right w:val="single" w:sz="12" w:space="0" w:color="auto"/>
            </w:tcBorders>
            <w:vAlign w:val="center"/>
          </w:tcPr>
          <w:p w14:paraId="7023978C" w14:textId="0D36A87A" w:rsidR="005C2C3D" w:rsidRDefault="005C2C3D" w:rsidP="009840D5">
            <w:pPr>
              <w:spacing w:before="80" w:after="80"/>
              <w:jc w:val="center"/>
              <w:rPr>
                <w:rFonts w:cs="Calibri"/>
                <w:color w:val="000000"/>
              </w:rPr>
            </w:pPr>
            <w:r>
              <w:rPr>
                <w:b/>
                <w:bCs/>
              </w:rPr>
              <w:t>70,557 mil. €</w:t>
            </w:r>
          </w:p>
        </w:tc>
      </w:tr>
    </w:tbl>
    <w:p w14:paraId="2708E683" w14:textId="7C1447F8" w:rsidR="006110E0" w:rsidRDefault="006110E0" w:rsidP="006110E0">
      <w:pPr>
        <w:jc w:val="both"/>
        <w:rPr>
          <w:rFonts w:ascii="Calibri" w:eastAsia="Times New Roman" w:hAnsi="Calibri" w:cs="Calibri"/>
          <w:color w:val="000000"/>
          <w:lang w:eastAsia="sk-SK"/>
        </w:rPr>
      </w:pPr>
    </w:p>
    <w:p w14:paraId="4DDE23FC" w14:textId="1E51CBDB" w:rsidR="005526E6" w:rsidRDefault="005526E6" w:rsidP="005526E6">
      <w:pPr>
        <w:jc w:val="both"/>
        <w:rPr>
          <w:rFonts w:ascii="Calibri" w:eastAsia="Times New Roman" w:hAnsi="Calibri" w:cs="Calibri"/>
          <w:color w:val="000000"/>
          <w:lang w:eastAsia="sk-SK"/>
        </w:rPr>
      </w:pPr>
      <w:r>
        <w:rPr>
          <w:rFonts w:ascii="Calibri" w:eastAsia="Times New Roman" w:hAnsi="Calibri" w:cs="Calibri"/>
          <w:color w:val="000000"/>
          <w:lang w:eastAsia="sk-SK"/>
        </w:rPr>
        <w:t xml:space="preserve">Detailný výpočet jednotlivých ukazovateľov z tabuľky </w:t>
      </w:r>
      <w:r w:rsidR="00EE2892">
        <w:rPr>
          <w:rFonts w:ascii="Calibri" w:eastAsia="Times New Roman" w:hAnsi="Calibri" w:cs="Calibri"/>
          <w:color w:val="000000"/>
          <w:lang w:eastAsia="sk-SK"/>
        </w:rPr>
        <w:t>č. 30</w:t>
      </w:r>
      <w:r>
        <w:rPr>
          <w:rFonts w:ascii="Calibri" w:eastAsia="Times New Roman" w:hAnsi="Calibri" w:cs="Calibri"/>
          <w:color w:val="000000"/>
          <w:lang w:eastAsia="sk-SK"/>
        </w:rPr>
        <w:t xml:space="preserve"> sa nachádza v podkapitolách 7.1 – 7.3. </w:t>
      </w:r>
    </w:p>
    <w:p w14:paraId="2EEEF8B0" w14:textId="7470C2A8" w:rsidR="00377294" w:rsidRPr="006336B3" w:rsidRDefault="00EC50F5" w:rsidP="00EC50F5">
      <w:pPr>
        <w:jc w:val="both"/>
      </w:pPr>
      <w:r>
        <w:t xml:space="preserve">Je vhodné taktiež poznamenať, že </w:t>
      </w:r>
      <w:r w:rsidRPr="00EC50F5">
        <w:t xml:space="preserve">podpora obnovy rodinných domov nadpriemerne stimuluje </w:t>
      </w:r>
      <w:r w:rsidR="00DB7C27">
        <w:t xml:space="preserve">hlavne </w:t>
      </w:r>
      <w:r w:rsidRPr="00EC50F5">
        <w:t>domáci dopyt a lokálnu ekonomiku</w:t>
      </w:r>
      <w:r w:rsidRPr="00D36F5F">
        <w:rPr>
          <w:b/>
          <w:bCs/>
        </w:rPr>
        <w:t>.</w:t>
      </w:r>
      <w:r w:rsidRPr="00EB164D">
        <w:t xml:space="preserve"> Investície do obnovy budov vytvárajú dopyt na regionálnej a miestnej úrovni, teda priamo tam, kde budovy stoja a kde ich užívatelia využívajú</w:t>
      </w:r>
      <w:r>
        <w:t>. Jedným z účelov príspevku</w:t>
      </w:r>
      <w:r w:rsidR="00377294" w:rsidRPr="006336B3">
        <w:t xml:space="preserve"> od štátu (štátna </w:t>
      </w:r>
      <w:r w:rsidR="00377294">
        <w:t>dotácia</w:t>
      </w:r>
      <w:r w:rsidR="00377294" w:rsidRPr="006336B3">
        <w:t xml:space="preserve">) </w:t>
      </w:r>
      <w:r>
        <w:t xml:space="preserve">je </w:t>
      </w:r>
      <w:r w:rsidR="00377294" w:rsidRPr="006336B3">
        <w:t>motiv</w:t>
      </w:r>
      <w:r>
        <w:t>ovať</w:t>
      </w:r>
      <w:r w:rsidR="00377294" w:rsidRPr="006336B3">
        <w:t xml:space="preserve"> domácnosti</w:t>
      </w:r>
      <w:r w:rsidR="00E320AA">
        <w:t>,</w:t>
      </w:r>
      <w:r w:rsidR="00377294" w:rsidRPr="006336B3">
        <w:t xml:space="preserve"> aby sa  rozhodli investovať svoje </w:t>
      </w:r>
      <w:r w:rsidR="00377294">
        <w:t xml:space="preserve">financie, či už v podobe vlastných </w:t>
      </w:r>
      <w:r w:rsidR="00377294" w:rsidRPr="006336B3">
        <w:t xml:space="preserve">úspor </w:t>
      </w:r>
      <w:r w:rsidR="00377294">
        <w:t xml:space="preserve">alebo v podobe úverov </w:t>
      </w:r>
      <w:r w:rsidR="00377294" w:rsidRPr="006336B3">
        <w:t xml:space="preserve">do obnovy </w:t>
      </w:r>
      <w:r>
        <w:t>svojho rodinného domu.</w:t>
      </w:r>
      <w:r w:rsidR="00377294">
        <w:t xml:space="preserve"> V takomto prípade</w:t>
      </w:r>
      <w:r w:rsidR="00377294" w:rsidRPr="006336B3">
        <w:t xml:space="preserve"> tieto financie ostanú v národnej ekonomike vo väčšej miere ako keď </w:t>
      </w:r>
      <w:r w:rsidR="00377294">
        <w:t xml:space="preserve">domácnosti </w:t>
      </w:r>
      <w:r w:rsidR="00377294" w:rsidRPr="006336B3">
        <w:t>použijú finančné prostriedky na iné tovary a</w:t>
      </w:r>
      <w:r>
        <w:t> </w:t>
      </w:r>
      <w:r w:rsidR="00377294" w:rsidRPr="006336B3">
        <w:t>služby</w:t>
      </w:r>
      <w:r>
        <w:t>.</w:t>
      </w:r>
      <w:r w:rsidR="00377294" w:rsidRPr="006336B3">
        <w:t xml:space="preserve"> </w:t>
      </w:r>
    </w:p>
    <w:p w14:paraId="6AE01A4F" w14:textId="24E894F4" w:rsidR="00BA7775" w:rsidRDefault="00EC50F5" w:rsidP="006110E0">
      <w:pPr>
        <w:jc w:val="both"/>
        <w:rPr>
          <w:rFonts w:ascii="Calibri" w:eastAsia="Times New Roman" w:hAnsi="Calibri" w:cs="Calibri"/>
          <w:color w:val="000000"/>
          <w:lang w:eastAsia="sk-SK"/>
        </w:rPr>
      </w:pPr>
      <w:r>
        <w:t>Z pohľadu podpory zamestnanosti je dobré zmieniť, že o</w:t>
      </w:r>
      <w:r w:rsidRPr="00EB164D">
        <w:t xml:space="preserve">bnovu </w:t>
      </w:r>
      <w:r>
        <w:t xml:space="preserve">a výstavbu </w:t>
      </w:r>
      <w:r w:rsidRPr="00EB164D">
        <w:t>budov</w:t>
      </w:r>
      <w:r>
        <w:t xml:space="preserve"> predovšetkým</w:t>
      </w:r>
      <w:r w:rsidRPr="00EB164D">
        <w:t xml:space="preserve"> realizujú živnostníci</w:t>
      </w:r>
      <w:r w:rsidR="00E320AA">
        <w:t>,</w:t>
      </w:r>
      <w:r w:rsidRPr="00EB164D">
        <w:t xml:space="preserve"> a malé a stredné firmy</w:t>
      </w:r>
      <w:r>
        <w:t xml:space="preserve">, pričom v prípade Slovenska </w:t>
      </w:r>
      <w:r w:rsidR="00DB7C27">
        <w:t>sú</w:t>
      </w:r>
      <w:r>
        <w:t xml:space="preserve"> </w:t>
      </w:r>
      <w:r w:rsidRPr="00EA3007">
        <w:t>96 % z nich</w:t>
      </w:r>
      <w:r w:rsidRPr="00AD1926">
        <w:t xml:space="preserve"> subjekty s menej než 10 zamestnanc</w:t>
      </w:r>
      <w:r>
        <w:t>ami</w:t>
      </w:r>
      <w:r w:rsidR="00DB7C27">
        <w:t xml:space="preserve"> [</w:t>
      </w:r>
      <w:r w:rsidR="006A575D">
        <w:t>11</w:t>
      </w:r>
      <w:r w:rsidR="00DB7C27">
        <w:t>]</w:t>
      </w:r>
      <w:r>
        <w:t>.</w:t>
      </w:r>
    </w:p>
    <w:p w14:paraId="2F71B4ED" w14:textId="543A0AF0" w:rsidR="00EC50F5" w:rsidRPr="00EC50F5" w:rsidRDefault="00EC50F5" w:rsidP="00EC50F5">
      <w:pPr>
        <w:spacing w:before="120" w:line="276" w:lineRule="auto"/>
        <w:jc w:val="both"/>
        <w:rPr>
          <w:rFonts w:ascii="Arial" w:hAnsi="Arial" w:cs="Arial"/>
        </w:rPr>
      </w:pPr>
      <w:r>
        <w:t>Z pohľadu vplyvu na hospodárstvo je dôležité, že v</w:t>
      </w:r>
      <w:r w:rsidRPr="00EC50F5">
        <w:t>ýstavba a obnova budov tvorí hlavný, cca 60% podiel na stavebnej produkcii.</w:t>
      </w:r>
      <w:r>
        <w:t xml:space="preserve"> Výstavba inžinierskych stavieb (vrátane diaľnic) sa na stavebnej produkcii od roku 2012 nikdy nepodieľala viac než 36-timi percentami. </w:t>
      </w:r>
      <w:r w:rsidR="00DB7C27">
        <w:t>[</w:t>
      </w:r>
      <w:r w:rsidR="006A575D">
        <w:t>12</w:t>
      </w:r>
      <w:r w:rsidR="00DB7C27">
        <w:t>]</w:t>
      </w:r>
      <w:r>
        <w:t>.</w:t>
      </w:r>
    </w:p>
    <w:p w14:paraId="44214DE4" w14:textId="03F16B8D" w:rsidR="00EC50F5" w:rsidRDefault="00EC50F5" w:rsidP="006110E0">
      <w:pPr>
        <w:jc w:val="both"/>
        <w:rPr>
          <w:rFonts w:ascii="Calibri" w:eastAsia="Times New Roman" w:hAnsi="Calibri" w:cs="Calibri"/>
          <w:color w:val="000000"/>
          <w:lang w:eastAsia="sk-SK"/>
        </w:rPr>
      </w:pPr>
    </w:p>
    <w:p w14:paraId="5FB7C3BB" w14:textId="27DCD006" w:rsidR="0009256C" w:rsidRDefault="0009256C" w:rsidP="006110E0">
      <w:pPr>
        <w:jc w:val="both"/>
        <w:rPr>
          <w:rFonts w:ascii="Calibri" w:eastAsia="Times New Roman" w:hAnsi="Calibri" w:cs="Calibri"/>
          <w:color w:val="000000"/>
          <w:lang w:eastAsia="sk-SK"/>
        </w:rPr>
      </w:pPr>
    </w:p>
    <w:p w14:paraId="5D255004" w14:textId="7E8AB3C5" w:rsidR="0009256C" w:rsidRDefault="0009256C" w:rsidP="006110E0">
      <w:pPr>
        <w:jc w:val="both"/>
        <w:rPr>
          <w:rFonts w:ascii="Calibri" w:eastAsia="Times New Roman" w:hAnsi="Calibri" w:cs="Calibri"/>
          <w:color w:val="000000"/>
          <w:lang w:eastAsia="sk-SK"/>
        </w:rPr>
      </w:pPr>
    </w:p>
    <w:p w14:paraId="2A1F85A7" w14:textId="77777777" w:rsidR="0009256C" w:rsidRDefault="0009256C" w:rsidP="006110E0">
      <w:pPr>
        <w:jc w:val="both"/>
        <w:rPr>
          <w:rFonts w:ascii="Calibri" w:eastAsia="Times New Roman" w:hAnsi="Calibri" w:cs="Calibri"/>
          <w:color w:val="000000"/>
          <w:lang w:eastAsia="sk-SK"/>
        </w:rPr>
      </w:pPr>
    </w:p>
    <w:p w14:paraId="78B1BFE8" w14:textId="117CFF7E" w:rsidR="0016675C" w:rsidRPr="0016675C" w:rsidRDefault="00377294" w:rsidP="00E43F26">
      <w:pPr>
        <w:pStyle w:val="Nadpis2"/>
        <w:numPr>
          <w:ilvl w:val="0"/>
          <w:numId w:val="0"/>
        </w:numPr>
        <w:rPr>
          <w:rFonts w:eastAsia="Times New Roman"/>
          <w:lang w:eastAsia="sk-SK"/>
        </w:rPr>
      </w:pPr>
      <w:bookmarkStart w:id="24" w:name="_Toc62576783"/>
      <w:r>
        <w:rPr>
          <w:rFonts w:eastAsia="Times New Roman"/>
          <w:lang w:eastAsia="sk-SK"/>
        </w:rPr>
        <w:lastRenderedPageBreak/>
        <w:t xml:space="preserve">7.1 </w:t>
      </w:r>
      <w:r w:rsidR="0016675C" w:rsidRPr="0016675C">
        <w:rPr>
          <w:rFonts w:eastAsia="Times New Roman"/>
          <w:lang w:eastAsia="sk-SK"/>
        </w:rPr>
        <w:t>Dopad na HDP</w:t>
      </w:r>
      <w:bookmarkEnd w:id="24"/>
    </w:p>
    <w:p w14:paraId="55000931" w14:textId="21D9C3AA" w:rsidR="00377294" w:rsidRPr="0032026C" w:rsidRDefault="006110E0" w:rsidP="00377294">
      <w:pPr>
        <w:jc w:val="both"/>
        <w:rPr>
          <w:rFonts w:ascii="Calibri" w:eastAsia="Times New Roman" w:hAnsi="Calibri" w:cs="Calibri"/>
          <w:color w:val="000000"/>
          <w:lang w:eastAsia="sk-SK"/>
        </w:rPr>
      </w:pPr>
      <w:r w:rsidRPr="006110E0">
        <w:t>Obnova budov je odvetvie</w:t>
      </w:r>
      <w:r>
        <w:t>, ktoré vďaka</w:t>
      </w:r>
      <w:r w:rsidRPr="006415C2">
        <w:t xml:space="preserve"> širokému dodávateľskému reťazcu </w:t>
      </w:r>
      <w:r>
        <w:t xml:space="preserve">podporuje aktivitu </w:t>
      </w:r>
      <w:r w:rsidRPr="006415C2">
        <w:t>rôzn</w:t>
      </w:r>
      <w:r>
        <w:t>ych</w:t>
      </w:r>
      <w:r w:rsidRPr="006415C2">
        <w:t xml:space="preserve"> odvetv</w:t>
      </w:r>
      <w:r>
        <w:t>í</w:t>
      </w:r>
      <w:r w:rsidRPr="006415C2">
        <w:t xml:space="preserve"> ekonomiky od malých živnostníkov po rôzne druhy subdodávok</w:t>
      </w:r>
      <w:r>
        <w:t xml:space="preserve">. Obnovu budov možno považovať za odvetvie s vysokým multiplikačným efektom. Tento údaj poukazuje na to ako zvýšenie produkcie v jednom odvetví národného hospodárstva (v </w:t>
      </w:r>
      <w:r w:rsidR="00CC5D53">
        <w:t>tomto</w:t>
      </w:r>
      <w:r>
        <w:t xml:space="preserve"> prípade ide o odvetvie stavebníctva) pozitívne ovplyvní zvýšenie produkcie v ostatných odvetviach národného hospodárstva. Podľa štúdie</w:t>
      </w:r>
      <w:r w:rsidR="00CC5D53">
        <w:t xml:space="preserve"> [</w:t>
      </w:r>
      <w:r w:rsidR="006A575D">
        <w:t>10</w:t>
      </w:r>
      <w:r w:rsidR="00CC5D53">
        <w:t>]</w:t>
      </w:r>
      <w:r>
        <w:t xml:space="preserve"> </w:t>
      </w:r>
      <w:r w:rsidR="00377294">
        <w:t xml:space="preserve">je možné uvažovať s </w:t>
      </w:r>
      <w:r w:rsidR="00377294" w:rsidRPr="0032026C">
        <w:rPr>
          <w:rFonts w:ascii="Calibri" w:eastAsia="Times New Roman" w:hAnsi="Calibri" w:cs="Calibri"/>
          <w:color w:val="000000"/>
          <w:lang w:eastAsia="sk-SK"/>
        </w:rPr>
        <w:t>hodnot</w:t>
      </w:r>
      <w:r w:rsidR="00377294">
        <w:rPr>
          <w:rFonts w:ascii="Calibri" w:eastAsia="Times New Roman" w:hAnsi="Calibri" w:cs="Calibri"/>
          <w:color w:val="000000"/>
          <w:lang w:eastAsia="sk-SK"/>
        </w:rPr>
        <w:t>ou</w:t>
      </w:r>
      <w:r w:rsidR="00377294" w:rsidRPr="0032026C">
        <w:rPr>
          <w:rFonts w:ascii="Calibri" w:eastAsia="Times New Roman" w:hAnsi="Calibri" w:cs="Calibri"/>
          <w:color w:val="000000"/>
          <w:lang w:eastAsia="sk-SK"/>
        </w:rPr>
        <w:t xml:space="preserve"> investičného multiplikátora </w:t>
      </w:r>
      <w:r w:rsidR="00377294">
        <w:rPr>
          <w:rFonts w:ascii="Calibri" w:eastAsia="Times New Roman" w:hAnsi="Calibri" w:cs="Calibri"/>
          <w:color w:val="000000"/>
          <w:lang w:eastAsia="sk-SK"/>
        </w:rPr>
        <w:t xml:space="preserve">na úrovni </w:t>
      </w:r>
      <w:r w:rsidR="00377294" w:rsidRPr="00231DEE">
        <w:rPr>
          <w:rFonts w:ascii="Calibri" w:eastAsia="Times New Roman" w:hAnsi="Calibri" w:cs="Calibri"/>
          <w:b/>
          <w:color w:val="000000"/>
          <w:lang w:eastAsia="sk-SK"/>
        </w:rPr>
        <w:t>1,3</w:t>
      </w:r>
      <w:r w:rsidR="00377294" w:rsidRPr="0032026C">
        <w:rPr>
          <w:rFonts w:ascii="Calibri" w:eastAsia="Times New Roman" w:hAnsi="Calibri" w:cs="Calibri"/>
          <w:color w:val="000000"/>
          <w:lang w:eastAsia="sk-SK"/>
        </w:rPr>
        <w:t>.</w:t>
      </w:r>
    </w:p>
    <w:p w14:paraId="64BC5944" w14:textId="16F3FD46" w:rsidR="0014146F" w:rsidRDefault="009840D5" w:rsidP="006110E0">
      <w:pPr>
        <w:jc w:val="both"/>
        <w:rPr>
          <w:b/>
          <w:bCs/>
        </w:rPr>
      </w:pPr>
      <w:r>
        <w:rPr>
          <w:rFonts w:cs="Calibri"/>
          <w:b/>
          <w:bCs/>
          <w:color w:val="000000"/>
        </w:rPr>
        <w:t>Scenár</w:t>
      </w:r>
      <w:r w:rsidR="00377294" w:rsidRPr="00377294">
        <w:rPr>
          <w:rFonts w:cs="Calibri"/>
          <w:b/>
          <w:bCs/>
          <w:color w:val="000000"/>
        </w:rPr>
        <w:t xml:space="preserve"> A</w:t>
      </w:r>
      <w:r w:rsidR="00377294">
        <w:rPr>
          <w:rFonts w:cs="Calibri"/>
          <w:b/>
          <w:bCs/>
          <w:color w:val="000000"/>
        </w:rPr>
        <w:t xml:space="preserve">: </w:t>
      </w:r>
      <w:r w:rsidR="00377294" w:rsidRPr="00377294">
        <w:rPr>
          <w:rFonts w:cs="Calibri"/>
          <w:color w:val="000000"/>
        </w:rPr>
        <w:t>Celková I</w:t>
      </w:r>
      <w:r w:rsidR="006110E0" w:rsidRPr="00377294">
        <w:t xml:space="preserve">nvestícia do obnovy budov v hodnote </w:t>
      </w:r>
      <w:r>
        <w:t>227,4</w:t>
      </w:r>
      <w:r w:rsidR="006110E0" w:rsidRPr="00377294">
        <w:t xml:space="preserve"> miliónov eur vytvor</w:t>
      </w:r>
      <w:r w:rsidR="00CC5D53">
        <w:t>í</w:t>
      </w:r>
      <w:r w:rsidR="006110E0" w:rsidRPr="00377294">
        <w:t xml:space="preserve"> dodatočný HDP v objeme </w:t>
      </w:r>
      <w:r>
        <w:t>296</w:t>
      </w:r>
      <w:r w:rsidR="006110E0" w:rsidRPr="00377294">
        <w:t xml:space="preserve"> mil. eur.</w:t>
      </w:r>
    </w:p>
    <w:p w14:paraId="4ED6123F" w14:textId="3EAC027D" w:rsidR="00377294" w:rsidRDefault="009840D5" w:rsidP="006110E0">
      <w:pPr>
        <w:jc w:val="both"/>
      </w:pPr>
      <w:r>
        <w:rPr>
          <w:rFonts w:cs="Calibri"/>
          <w:b/>
          <w:bCs/>
          <w:color w:val="000000"/>
        </w:rPr>
        <w:t>Scenár</w:t>
      </w:r>
      <w:r w:rsidR="00377294" w:rsidRPr="00377294">
        <w:rPr>
          <w:rFonts w:cs="Calibri"/>
          <w:b/>
          <w:bCs/>
          <w:color w:val="000000"/>
        </w:rPr>
        <w:t xml:space="preserve"> B</w:t>
      </w:r>
      <w:r>
        <w:rPr>
          <w:rFonts w:cs="Calibri"/>
          <w:b/>
          <w:bCs/>
          <w:color w:val="000000"/>
        </w:rPr>
        <w:t>:</w:t>
      </w:r>
      <w:r w:rsidR="00377294">
        <w:rPr>
          <w:rFonts w:cs="Calibri"/>
          <w:b/>
          <w:bCs/>
          <w:color w:val="000000"/>
        </w:rPr>
        <w:t xml:space="preserve"> </w:t>
      </w:r>
      <w:r w:rsidR="00377294" w:rsidRPr="00377294">
        <w:rPr>
          <w:rFonts w:cs="Calibri"/>
          <w:color w:val="000000"/>
        </w:rPr>
        <w:t>Celková</w:t>
      </w:r>
      <w:r w:rsidR="00377294">
        <w:rPr>
          <w:rFonts w:cs="Calibri"/>
          <w:b/>
          <w:bCs/>
          <w:color w:val="000000"/>
        </w:rPr>
        <w:t xml:space="preserve"> </w:t>
      </w:r>
      <w:r w:rsidR="00377294" w:rsidRPr="00377294">
        <w:rPr>
          <w:rFonts w:cs="Calibri"/>
          <w:color w:val="000000"/>
        </w:rPr>
        <w:t>I</w:t>
      </w:r>
      <w:r w:rsidR="00377294" w:rsidRPr="00377294">
        <w:t xml:space="preserve">nvestícia do obnovy budov v hodnote </w:t>
      </w:r>
      <w:r>
        <w:t>220,5</w:t>
      </w:r>
      <w:r w:rsidR="00377294" w:rsidRPr="00377294">
        <w:t xml:space="preserve"> miliónov eur vytvor</w:t>
      </w:r>
      <w:r w:rsidR="00CC5D53">
        <w:t>í</w:t>
      </w:r>
      <w:r w:rsidR="00377294" w:rsidRPr="00377294">
        <w:t xml:space="preserve"> dodatočný HDP v objeme </w:t>
      </w:r>
      <w:r>
        <w:t>287</w:t>
      </w:r>
      <w:r w:rsidR="00377294" w:rsidRPr="00377294">
        <w:t xml:space="preserve"> mil. eur.</w:t>
      </w:r>
    </w:p>
    <w:p w14:paraId="0823487F" w14:textId="77777777" w:rsidR="009840D5" w:rsidRDefault="009840D5" w:rsidP="006110E0">
      <w:pPr>
        <w:jc w:val="both"/>
      </w:pPr>
    </w:p>
    <w:p w14:paraId="088AD356" w14:textId="7D71E206" w:rsidR="0014146F" w:rsidRPr="0016675C" w:rsidRDefault="00A56738" w:rsidP="00E43F26">
      <w:pPr>
        <w:pStyle w:val="Nadpis2"/>
        <w:numPr>
          <w:ilvl w:val="1"/>
          <w:numId w:val="27"/>
        </w:numPr>
        <w:ind w:left="357" w:hanging="357"/>
      </w:pPr>
      <w:bookmarkStart w:id="25" w:name="_Toc62576784"/>
      <w:r w:rsidRPr="0016675C">
        <w:t>Tvorba pracovných miest</w:t>
      </w:r>
      <w:bookmarkEnd w:id="25"/>
    </w:p>
    <w:p w14:paraId="61A394D0" w14:textId="07874A0A" w:rsidR="0014146F" w:rsidRDefault="00A56738" w:rsidP="00665CD3">
      <w:pPr>
        <w:spacing w:line="276" w:lineRule="auto"/>
        <w:jc w:val="both"/>
        <w:rPr>
          <w:rFonts w:ascii="Calibri" w:eastAsia="Times New Roman" w:hAnsi="Calibri" w:cs="Calibri"/>
          <w:color w:val="000000"/>
          <w:lang w:eastAsia="sk-SK"/>
        </w:rPr>
      </w:pPr>
      <w:r>
        <w:rPr>
          <w:rFonts w:ascii="Calibri" w:eastAsia="Times New Roman" w:hAnsi="Calibri" w:cs="Calibri"/>
          <w:color w:val="000000"/>
          <w:lang w:eastAsia="sk-SK"/>
        </w:rPr>
        <w:t xml:space="preserve">Výpočet tvorby pracovných miest </w:t>
      </w:r>
      <w:r w:rsidR="0016675C">
        <w:rPr>
          <w:rFonts w:ascii="Calibri" w:eastAsia="Times New Roman" w:hAnsi="Calibri" w:cs="Calibri"/>
          <w:color w:val="000000"/>
          <w:lang w:eastAsia="sk-SK"/>
        </w:rPr>
        <w:t xml:space="preserve">v štúdii </w:t>
      </w:r>
      <w:r>
        <w:rPr>
          <w:rFonts w:ascii="Calibri" w:eastAsia="Times New Roman" w:hAnsi="Calibri" w:cs="Calibri"/>
          <w:color w:val="000000"/>
          <w:lang w:eastAsia="sk-SK"/>
        </w:rPr>
        <w:t xml:space="preserve">vychádza z údaju </w:t>
      </w:r>
      <w:r w:rsidR="0014146F" w:rsidRPr="00173F98">
        <w:rPr>
          <w:rFonts w:ascii="Calibri" w:eastAsia="Times New Roman" w:hAnsi="Calibri" w:cs="Calibri"/>
          <w:color w:val="000000"/>
          <w:lang w:eastAsia="sk-SK"/>
        </w:rPr>
        <w:t xml:space="preserve">o produktivite práce v odvetví stavebníctva v roku 2014 na </w:t>
      </w:r>
      <w:r w:rsidR="0016675C">
        <w:rPr>
          <w:rFonts w:ascii="Calibri" w:eastAsia="Times New Roman" w:hAnsi="Calibri" w:cs="Calibri"/>
          <w:color w:val="000000"/>
          <w:lang w:eastAsia="sk-SK"/>
        </w:rPr>
        <w:t>jedného</w:t>
      </w:r>
      <w:r w:rsidR="0014146F" w:rsidRPr="00173F98">
        <w:rPr>
          <w:rFonts w:ascii="Calibri" w:eastAsia="Times New Roman" w:hAnsi="Calibri" w:cs="Calibri"/>
          <w:color w:val="000000"/>
          <w:lang w:eastAsia="sk-SK"/>
        </w:rPr>
        <w:t xml:space="preserve"> zamestnanca, ktorá bola 28 455 EUR</w:t>
      </w:r>
      <w:r>
        <w:rPr>
          <w:rFonts w:ascii="Calibri" w:eastAsia="Times New Roman" w:hAnsi="Calibri" w:cs="Calibri"/>
          <w:color w:val="000000"/>
          <w:lang w:eastAsia="sk-SK"/>
        </w:rPr>
        <w:t xml:space="preserve">. </w:t>
      </w:r>
      <w:r w:rsidR="0016675C">
        <w:rPr>
          <w:rFonts w:ascii="Calibri" w:eastAsia="Times New Roman" w:hAnsi="Calibri" w:cs="Calibri"/>
          <w:color w:val="000000"/>
          <w:lang w:eastAsia="sk-SK"/>
        </w:rPr>
        <w:t>Podľa tohto údaju vypočítali autori počet vytvorených pracovných miest pri investícii vo výške 100 mil. eur, a to 3515 novovytvorených pracovných miest.</w:t>
      </w:r>
      <w:r w:rsidR="00377294">
        <w:rPr>
          <w:rFonts w:ascii="Calibri" w:eastAsia="Times New Roman" w:hAnsi="Calibri" w:cs="Calibri"/>
          <w:color w:val="000000"/>
          <w:lang w:eastAsia="sk-SK"/>
        </w:rPr>
        <w:t xml:space="preserve"> </w:t>
      </w:r>
      <w:r w:rsidR="00377294">
        <w:t>Tento údaj však možno považovať za konzervatívny. Údaj o produktivite práce za celé odvetvie zahŕňa údaje z inžinierskych stavieb, ktoré sú špecifické nižším využitím ľudského pracovného kapitálu. V prípade prác pri obnove budov,  ide však o odvetvie s vysokým podielom ľudskej práce. Počet  novovytvorených pracovných miest by sa z tohto hľadiska mohol pohybovať na dvojnásobnej hodnote [</w:t>
      </w:r>
      <w:r w:rsidR="006A575D">
        <w:t>10</w:t>
      </w:r>
      <w:r w:rsidR="00377294">
        <w:t>]. Je však potrebné brať do úvahy taktiež</w:t>
      </w:r>
      <w:r w:rsidR="00D20BEA">
        <w:t xml:space="preserve"> to</w:t>
      </w:r>
      <w:r w:rsidR="00377294">
        <w:t xml:space="preserve">, </w:t>
      </w:r>
      <w:r w:rsidR="00377294" w:rsidRPr="00035874">
        <w:rPr>
          <w:rFonts w:ascii="Calibri" w:eastAsia="Times New Roman" w:hAnsi="Calibri" w:cs="Calibri"/>
          <w:color w:val="000000"/>
          <w:lang w:eastAsia="sk-SK"/>
        </w:rPr>
        <w:t>že novovytvorený pracovný kapitál nebude celý obsadený iba novými pracovnými pozíciami, ale časť týchto miest bu</w:t>
      </w:r>
      <w:r w:rsidR="00377294">
        <w:rPr>
          <w:rFonts w:ascii="Calibri" w:eastAsia="Times New Roman" w:hAnsi="Calibri" w:cs="Calibri"/>
          <w:color w:val="000000"/>
          <w:lang w:eastAsia="sk-SK"/>
        </w:rPr>
        <w:t>de obsadená už existujúcim praco</w:t>
      </w:r>
      <w:r w:rsidR="00377294" w:rsidRPr="00035874">
        <w:rPr>
          <w:rFonts w:ascii="Calibri" w:eastAsia="Times New Roman" w:hAnsi="Calibri" w:cs="Calibri"/>
          <w:color w:val="000000"/>
          <w:lang w:eastAsia="sk-SK"/>
        </w:rPr>
        <w:t>vným fondom.</w:t>
      </w:r>
    </w:p>
    <w:p w14:paraId="10DCA33E" w14:textId="2D093329" w:rsidR="00377294" w:rsidRDefault="0016675C" w:rsidP="00665CD3">
      <w:pPr>
        <w:spacing w:line="276" w:lineRule="auto"/>
        <w:jc w:val="both"/>
      </w:pPr>
      <w:r>
        <w:t>Podľa najaktuálnejších údajov [</w:t>
      </w:r>
      <w:r w:rsidR="006A575D">
        <w:t>12</w:t>
      </w:r>
      <w:r>
        <w:t>], z</w:t>
      </w:r>
      <w:r w:rsidR="00A56738">
        <w:t> roku 2018</w:t>
      </w:r>
      <w:r>
        <w:t xml:space="preserve">, bola </w:t>
      </w:r>
      <w:r w:rsidRPr="00173F98">
        <w:rPr>
          <w:rFonts w:ascii="Calibri" w:eastAsia="Times New Roman" w:hAnsi="Calibri" w:cs="Calibri"/>
          <w:color w:val="000000"/>
          <w:lang w:eastAsia="sk-SK"/>
        </w:rPr>
        <w:t>produktivit</w:t>
      </w:r>
      <w:r w:rsidR="00D20BEA">
        <w:rPr>
          <w:rFonts w:ascii="Calibri" w:eastAsia="Times New Roman" w:hAnsi="Calibri" w:cs="Calibri"/>
          <w:color w:val="000000"/>
          <w:lang w:eastAsia="sk-SK"/>
        </w:rPr>
        <w:t>a</w:t>
      </w:r>
      <w:r w:rsidRPr="00173F98">
        <w:rPr>
          <w:rFonts w:ascii="Calibri" w:eastAsia="Times New Roman" w:hAnsi="Calibri" w:cs="Calibri"/>
          <w:color w:val="000000"/>
          <w:lang w:eastAsia="sk-SK"/>
        </w:rPr>
        <w:t xml:space="preserve"> práce v odvetví stavebníctva na </w:t>
      </w:r>
      <w:r>
        <w:rPr>
          <w:rFonts w:ascii="Calibri" w:eastAsia="Times New Roman" w:hAnsi="Calibri" w:cs="Calibri"/>
          <w:color w:val="000000"/>
          <w:lang w:eastAsia="sk-SK"/>
        </w:rPr>
        <w:t>jedného</w:t>
      </w:r>
      <w:r w:rsidRPr="00173F98">
        <w:rPr>
          <w:rFonts w:ascii="Calibri" w:eastAsia="Times New Roman" w:hAnsi="Calibri" w:cs="Calibri"/>
          <w:color w:val="000000"/>
          <w:lang w:eastAsia="sk-SK"/>
        </w:rPr>
        <w:t xml:space="preserve"> zamestnanc</w:t>
      </w:r>
      <w:r>
        <w:rPr>
          <w:rFonts w:ascii="Calibri" w:eastAsia="Times New Roman" w:hAnsi="Calibri" w:cs="Calibri"/>
          <w:color w:val="000000"/>
          <w:lang w:eastAsia="sk-SK"/>
        </w:rPr>
        <w:t>a</w:t>
      </w:r>
      <w:r w:rsidR="00A56738">
        <w:t xml:space="preserve"> 34 839 EUR. </w:t>
      </w:r>
    </w:p>
    <w:p w14:paraId="2E83AF73" w14:textId="47D4ADFC" w:rsidR="00377294" w:rsidRDefault="009840D5" w:rsidP="00665CD3">
      <w:pPr>
        <w:spacing w:line="276" w:lineRule="auto"/>
        <w:jc w:val="both"/>
        <w:rPr>
          <w:rFonts w:ascii="Calibri" w:eastAsia="Times New Roman" w:hAnsi="Calibri" w:cs="Calibri"/>
          <w:color w:val="000000"/>
          <w:lang w:eastAsia="sk-SK"/>
        </w:rPr>
      </w:pPr>
      <w:r>
        <w:rPr>
          <w:rFonts w:cs="Calibri"/>
          <w:b/>
          <w:bCs/>
          <w:color w:val="000000"/>
        </w:rPr>
        <w:t>Scenár</w:t>
      </w:r>
      <w:r w:rsidR="00377294" w:rsidRPr="00377294">
        <w:rPr>
          <w:rFonts w:cs="Calibri"/>
          <w:b/>
          <w:bCs/>
          <w:color w:val="000000"/>
        </w:rPr>
        <w:t xml:space="preserve"> A</w:t>
      </w:r>
      <w:r w:rsidR="00377294">
        <w:rPr>
          <w:rFonts w:cs="Calibri"/>
          <w:b/>
          <w:bCs/>
          <w:color w:val="000000"/>
        </w:rPr>
        <w:t xml:space="preserve">: </w:t>
      </w:r>
      <w:r w:rsidR="00CC5D53" w:rsidRPr="00377294">
        <w:rPr>
          <w:rFonts w:cs="Calibri"/>
          <w:color w:val="000000"/>
        </w:rPr>
        <w:t>Celková I</w:t>
      </w:r>
      <w:r w:rsidR="00CC5D53" w:rsidRPr="00377294">
        <w:t xml:space="preserve">nvestícia do obnovy budov </w:t>
      </w:r>
      <w:r w:rsidR="00CC5D53">
        <w:t xml:space="preserve">vytvorí </w:t>
      </w:r>
      <w:r>
        <w:t>6527</w:t>
      </w:r>
      <w:r w:rsidR="00377294" w:rsidRPr="00377294">
        <w:t xml:space="preserve"> pracovných miest</w:t>
      </w:r>
      <w:r w:rsidR="00CC5D53">
        <w:t>.</w:t>
      </w:r>
    </w:p>
    <w:p w14:paraId="5F4006EC" w14:textId="449567D3" w:rsidR="0014146F" w:rsidRDefault="009840D5" w:rsidP="00665CD3">
      <w:pPr>
        <w:spacing w:line="276" w:lineRule="auto"/>
        <w:jc w:val="both"/>
      </w:pPr>
      <w:r w:rsidRPr="009840D5">
        <w:rPr>
          <w:rFonts w:cs="Calibri"/>
          <w:b/>
          <w:bCs/>
          <w:color w:val="000000"/>
        </w:rPr>
        <w:t>Scenár B:</w:t>
      </w:r>
      <w:r>
        <w:rPr>
          <w:rFonts w:cs="Calibri"/>
          <w:color w:val="000000"/>
        </w:rPr>
        <w:t xml:space="preserve"> </w:t>
      </w:r>
      <w:r w:rsidR="00CC5D53" w:rsidRPr="00377294">
        <w:rPr>
          <w:rFonts w:cs="Calibri"/>
          <w:color w:val="000000"/>
        </w:rPr>
        <w:t>Celková</w:t>
      </w:r>
      <w:r w:rsidR="00CC5D53">
        <w:rPr>
          <w:rFonts w:cs="Calibri"/>
          <w:b/>
          <w:bCs/>
          <w:color w:val="000000"/>
        </w:rPr>
        <w:t xml:space="preserve"> </w:t>
      </w:r>
      <w:r w:rsidR="00CC5D53" w:rsidRPr="00377294">
        <w:rPr>
          <w:rFonts w:cs="Calibri"/>
          <w:color w:val="000000"/>
        </w:rPr>
        <w:t>I</w:t>
      </w:r>
      <w:r w:rsidR="00CC5D53" w:rsidRPr="00377294">
        <w:t>nvestícia do obnovy budov eur vytvor</w:t>
      </w:r>
      <w:r w:rsidR="00CC5D53">
        <w:t>í</w:t>
      </w:r>
      <w:r w:rsidR="00CC5D53" w:rsidRPr="00377294">
        <w:t xml:space="preserve"> </w:t>
      </w:r>
      <w:r>
        <w:t xml:space="preserve">6327 </w:t>
      </w:r>
      <w:r w:rsidR="00377294" w:rsidRPr="00377294">
        <w:t>pracovných miest</w:t>
      </w:r>
      <w:r w:rsidR="00CC5D53">
        <w:t>.</w:t>
      </w:r>
    </w:p>
    <w:p w14:paraId="7D3F0FDE" w14:textId="33EC9B31" w:rsidR="00E11E1F" w:rsidRDefault="00E11E1F" w:rsidP="00E11E1F">
      <w:pPr>
        <w:spacing w:line="276" w:lineRule="auto"/>
        <w:jc w:val="both"/>
        <w:rPr>
          <w:rFonts w:ascii="Calibri" w:eastAsia="Times New Roman" w:hAnsi="Calibri" w:cs="Calibri"/>
          <w:color w:val="000000"/>
          <w:lang w:eastAsia="sk-SK"/>
        </w:rPr>
      </w:pPr>
      <w:r>
        <w:rPr>
          <w:rFonts w:ascii="Calibri" w:eastAsia="Times New Roman" w:hAnsi="Calibri" w:cs="Calibri"/>
          <w:color w:val="000000"/>
          <w:lang w:eastAsia="sk-SK"/>
        </w:rPr>
        <w:t xml:space="preserve">Pri porovnaní </w:t>
      </w:r>
      <w:r w:rsidRPr="0052291F">
        <w:rPr>
          <w:rFonts w:ascii="Calibri" w:eastAsia="Times New Roman" w:hAnsi="Calibri" w:cs="Calibri"/>
          <w:color w:val="000000"/>
          <w:lang w:eastAsia="sk-SK"/>
        </w:rPr>
        <w:t>tvorb</w:t>
      </w:r>
      <w:r>
        <w:rPr>
          <w:rFonts w:ascii="Calibri" w:eastAsia="Times New Roman" w:hAnsi="Calibri" w:cs="Calibri"/>
          <w:color w:val="000000"/>
          <w:lang w:eastAsia="sk-SK"/>
        </w:rPr>
        <w:t>y</w:t>
      </w:r>
      <w:r w:rsidRPr="0052291F">
        <w:rPr>
          <w:rFonts w:ascii="Calibri" w:eastAsia="Times New Roman" w:hAnsi="Calibri" w:cs="Calibri"/>
          <w:color w:val="000000"/>
          <w:lang w:eastAsia="sk-SK"/>
        </w:rPr>
        <w:t xml:space="preserve"> pracovných miest z modelovej investície</w:t>
      </w:r>
      <w:r>
        <w:rPr>
          <w:rFonts w:ascii="Calibri" w:eastAsia="Times New Roman" w:hAnsi="Calibri" w:cs="Calibri"/>
          <w:color w:val="000000"/>
          <w:lang w:eastAsia="sk-SK"/>
        </w:rPr>
        <w:t xml:space="preserve"> </w:t>
      </w:r>
      <w:r w:rsidRPr="0052291F">
        <w:rPr>
          <w:rFonts w:ascii="Calibri" w:eastAsia="Times New Roman" w:hAnsi="Calibri" w:cs="Calibri"/>
          <w:color w:val="000000"/>
          <w:lang w:eastAsia="sk-SK"/>
        </w:rPr>
        <w:t>o objeme 100 mil. EUR smerujúcej do hĺbkov</w:t>
      </w:r>
      <w:r>
        <w:rPr>
          <w:rFonts w:ascii="Calibri" w:eastAsia="Times New Roman" w:hAnsi="Calibri" w:cs="Calibri"/>
          <w:color w:val="000000"/>
          <w:lang w:eastAsia="sk-SK"/>
        </w:rPr>
        <w:t>ej obnovy budov,  a podpory štátu</w:t>
      </w:r>
      <w:r w:rsidRPr="0052291F">
        <w:rPr>
          <w:rFonts w:ascii="Calibri" w:eastAsia="Times New Roman" w:hAnsi="Calibri" w:cs="Calibri"/>
          <w:color w:val="000000"/>
          <w:lang w:eastAsia="sk-SK"/>
        </w:rPr>
        <w:t xml:space="preserve"> a nákladov na pracovné miesta, ktoré boli vytvorené prostredníctvom štátnej pomoci </w:t>
      </w:r>
      <w:r>
        <w:rPr>
          <w:rFonts w:ascii="Calibri" w:eastAsia="Times New Roman" w:hAnsi="Calibri" w:cs="Calibri"/>
          <w:color w:val="000000"/>
          <w:lang w:eastAsia="sk-SK"/>
        </w:rPr>
        <w:t>(10 najvýznamnejších štátnych</w:t>
      </w:r>
      <w:r w:rsidRPr="001D7357">
        <w:rPr>
          <w:rFonts w:ascii="Calibri" w:eastAsia="Times New Roman" w:hAnsi="Calibri" w:cs="Calibri"/>
          <w:color w:val="000000"/>
          <w:lang w:eastAsia="sk-SK"/>
        </w:rPr>
        <w:t xml:space="preserve"> </w:t>
      </w:r>
      <w:r w:rsidRPr="0052291F">
        <w:rPr>
          <w:rFonts w:ascii="Calibri" w:eastAsia="Times New Roman" w:hAnsi="Calibri" w:cs="Calibri"/>
          <w:color w:val="000000"/>
          <w:lang w:eastAsia="sk-SK"/>
        </w:rPr>
        <w:t>investičných stimulov</w:t>
      </w:r>
      <w:r>
        <w:rPr>
          <w:rFonts w:ascii="Calibri" w:eastAsia="Times New Roman" w:hAnsi="Calibri" w:cs="Calibri"/>
          <w:color w:val="000000"/>
          <w:lang w:eastAsia="sk-SK"/>
        </w:rPr>
        <w:t xml:space="preserve"> v rokoch 2002 – 2016), </w:t>
      </w:r>
      <w:r>
        <w:t>je možné konštatovať, že tvorba pracovných príležitostí prostredníctvom priamych investícií do obnovy budov je efektívnejšia,</w:t>
      </w:r>
      <w:r w:rsidRPr="002A3E25">
        <w:t xml:space="preserve"> </w:t>
      </w:r>
      <w:r>
        <w:t xml:space="preserve">v porovnaní s vynaloženými prostriedkami na investičné stimuly pre zahraničných investorov </w:t>
      </w:r>
      <w:r w:rsidR="006A575D">
        <w:t>[10</w:t>
      </w:r>
      <w:r>
        <w:t>].</w:t>
      </w:r>
    </w:p>
    <w:p w14:paraId="65F6C7B1" w14:textId="4757B34F" w:rsidR="00997183" w:rsidRDefault="00997183" w:rsidP="00377294">
      <w:pPr>
        <w:jc w:val="both"/>
      </w:pPr>
    </w:p>
    <w:p w14:paraId="0A86A7A8" w14:textId="6ADA9638" w:rsidR="00997183" w:rsidRDefault="00997183" w:rsidP="00377294">
      <w:pPr>
        <w:jc w:val="both"/>
      </w:pPr>
    </w:p>
    <w:p w14:paraId="5EC1D967" w14:textId="4D409A2F" w:rsidR="00997183" w:rsidRDefault="00997183" w:rsidP="00377294">
      <w:pPr>
        <w:jc w:val="both"/>
      </w:pPr>
    </w:p>
    <w:p w14:paraId="4267E0BB" w14:textId="77777777" w:rsidR="005C2C3D" w:rsidRDefault="005C2C3D" w:rsidP="00377294">
      <w:pPr>
        <w:jc w:val="both"/>
      </w:pPr>
    </w:p>
    <w:p w14:paraId="1B240272" w14:textId="2CBD9252" w:rsidR="0016675C" w:rsidRDefault="006110E0" w:rsidP="00E43F26">
      <w:pPr>
        <w:pStyle w:val="Nadpis2"/>
        <w:numPr>
          <w:ilvl w:val="1"/>
          <w:numId w:val="27"/>
        </w:numPr>
        <w:ind w:left="357" w:hanging="357"/>
      </w:pPr>
      <w:bookmarkStart w:id="26" w:name="_Toc62576785"/>
      <w:r w:rsidRPr="006110E0">
        <w:lastRenderedPageBreak/>
        <w:t xml:space="preserve">Prínosy do </w:t>
      </w:r>
      <w:r w:rsidR="00334977">
        <w:t>verejného</w:t>
      </w:r>
      <w:r w:rsidRPr="006110E0">
        <w:t xml:space="preserve"> rozpočtu</w:t>
      </w:r>
      <w:bookmarkEnd w:id="26"/>
    </w:p>
    <w:p w14:paraId="0EBEDB5F" w14:textId="19031118" w:rsidR="00334977" w:rsidRPr="00EE2892" w:rsidRDefault="00334977" w:rsidP="0016675C">
      <w:pPr>
        <w:jc w:val="both"/>
        <w:rPr>
          <w:bCs/>
          <w:i/>
          <w:iCs/>
        </w:rPr>
      </w:pPr>
      <w:r w:rsidRPr="00EE2892">
        <w:rPr>
          <w:rFonts w:ascii="Calibri" w:eastAsia="Calibri" w:hAnsi="Calibri" w:cs="Times New Roman"/>
          <w:bCs/>
          <w:i/>
          <w:iCs/>
        </w:rPr>
        <w:t>Tab</w:t>
      </w:r>
      <w:r w:rsidR="00EE2892" w:rsidRPr="00EE2892">
        <w:rPr>
          <w:rFonts w:ascii="Calibri" w:eastAsia="Calibri" w:hAnsi="Calibri" w:cs="Times New Roman"/>
          <w:bCs/>
          <w:i/>
          <w:iCs/>
        </w:rPr>
        <w:t>. 3</w:t>
      </w:r>
      <w:r w:rsidR="009D46B3">
        <w:rPr>
          <w:rFonts w:ascii="Calibri" w:eastAsia="Calibri" w:hAnsi="Calibri" w:cs="Times New Roman"/>
          <w:bCs/>
          <w:i/>
          <w:iCs/>
        </w:rPr>
        <w:t>5</w:t>
      </w:r>
      <w:r w:rsidRPr="00EE2892">
        <w:rPr>
          <w:rFonts w:ascii="Calibri" w:eastAsia="Calibri" w:hAnsi="Calibri" w:cs="Times New Roman"/>
          <w:bCs/>
          <w:i/>
          <w:iCs/>
        </w:rPr>
        <w:t xml:space="preserve">: Prínosy modelovej investície do </w:t>
      </w:r>
      <w:r w:rsidR="00BA7775" w:rsidRPr="00EE2892">
        <w:rPr>
          <w:rFonts w:ascii="Calibri" w:eastAsia="Calibri" w:hAnsi="Calibri" w:cs="Times New Roman"/>
          <w:bCs/>
          <w:i/>
          <w:iCs/>
        </w:rPr>
        <w:t xml:space="preserve">verejného </w:t>
      </w:r>
      <w:r w:rsidRPr="00EE2892">
        <w:rPr>
          <w:rFonts w:ascii="Calibri" w:eastAsia="Calibri" w:hAnsi="Calibri" w:cs="Times New Roman"/>
          <w:bCs/>
          <w:i/>
          <w:iCs/>
        </w:rPr>
        <w:t>rozpočtu</w:t>
      </w:r>
    </w:p>
    <w:tbl>
      <w:tblPr>
        <w:tblW w:w="9062" w:type="dxa"/>
        <w:tblInd w:w="-5" w:type="dxa"/>
        <w:tblCellMar>
          <w:left w:w="70" w:type="dxa"/>
          <w:right w:w="70" w:type="dxa"/>
        </w:tblCellMar>
        <w:tblLook w:val="04A0" w:firstRow="1" w:lastRow="0" w:firstColumn="1" w:lastColumn="0" w:noHBand="0" w:noVBand="1"/>
      </w:tblPr>
      <w:tblGrid>
        <w:gridCol w:w="3544"/>
        <w:gridCol w:w="2683"/>
        <w:gridCol w:w="2835"/>
      </w:tblGrid>
      <w:tr w:rsidR="005C2C3D" w:rsidRPr="000A6FA6" w14:paraId="43DF17CE" w14:textId="0397C936" w:rsidTr="005C2C3D">
        <w:trPr>
          <w:trHeight w:val="300"/>
        </w:trPr>
        <w:tc>
          <w:tcPr>
            <w:tcW w:w="3544"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02748070" w14:textId="7D713669" w:rsidR="005C2C3D" w:rsidRPr="009840D5" w:rsidRDefault="005C2C3D" w:rsidP="00DB7C27">
            <w:pPr>
              <w:spacing w:before="40" w:after="40" w:line="240" w:lineRule="auto"/>
              <w:jc w:val="both"/>
              <w:rPr>
                <w:rFonts w:eastAsia="Times New Roman" w:cstheme="minorHAnsi"/>
                <w:color w:val="000000"/>
                <w:sz w:val="18"/>
                <w:szCs w:val="18"/>
                <w:lang w:eastAsia="sk-SK"/>
              </w:rPr>
            </w:pPr>
            <w:r w:rsidRPr="009840D5">
              <w:rPr>
                <w:rFonts w:eastAsia="Times New Roman" w:cstheme="minorHAnsi"/>
                <w:color w:val="000000"/>
                <w:sz w:val="18"/>
                <w:szCs w:val="18"/>
                <w:lang w:eastAsia="sk-SK"/>
              </w:rPr>
              <w:t xml:space="preserve"> </w:t>
            </w:r>
          </w:p>
        </w:tc>
        <w:tc>
          <w:tcPr>
            <w:tcW w:w="2683" w:type="dxa"/>
            <w:tcBorders>
              <w:top w:val="single" w:sz="12" w:space="0" w:color="auto"/>
              <w:left w:val="nil"/>
              <w:bottom w:val="single" w:sz="12" w:space="0" w:color="auto"/>
              <w:right w:val="single" w:sz="4" w:space="0" w:color="auto"/>
            </w:tcBorders>
            <w:shd w:val="clear" w:color="auto" w:fill="auto"/>
            <w:noWrap/>
            <w:vAlign w:val="center"/>
          </w:tcPr>
          <w:p w14:paraId="4A6FF38C" w14:textId="082E901F" w:rsidR="005C2C3D" w:rsidRPr="009840D5" w:rsidRDefault="005C2C3D" w:rsidP="00DB7C27">
            <w:pPr>
              <w:spacing w:before="40" w:after="40" w:line="240" w:lineRule="auto"/>
              <w:jc w:val="center"/>
              <w:rPr>
                <w:rFonts w:eastAsia="Times New Roman" w:cstheme="minorHAnsi"/>
                <w:b/>
                <w:bCs/>
                <w:color w:val="000000"/>
                <w:sz w:val="18"/>
                <w:szCs w:val="18"/>
                <w:lang w:eastAsia="sk-SK"/>
              </w:rPr>
            </w:pPr>
            <w:r>
              <w:rPr>
                <w:rFonts w:eastAsia="Times New Roman" w:cstheme="minorHAnsi"/>
                <w:b/>
                <w:bCs/>
                <w:color w:val="000000"/>
                <w:sz w:val="18"/>
                <w:szCs w:val="18"/>
                <w:lang w:eastAsia="sk-SK"/>
              </w:rPr>
              <w:t>Základný scenár</w:t>
            </w:r>
          </w:p>
        </w:tc>
        <w:tc>
          <w:tcPr>
            <w:tcW w:w="2835" w:type="dxa"/>
            <w:tcBorders>
              <w:top w:val="single" w:sz="12" w:space="0" w:color="auto"/>
              <w:left w:val="nil"/>
              <w:bottom w:val="single" w:sz="12" w:space="0" w:color="auto"/>
              <w:right w:val="single" w:sz="12" w:space="0" w:color="auto"/>
            </w:tcBorders>
            <w:vAlign w:val="center"/>
          </w:tcPr>
          <w:p w14:paraId="6D8860F8" w14:textId="19F63476" w:rsidR="005C2C3D" w:rsidRPr="009840D5" w:rsidRDefault="005C2C3D" w:rsidP="00DB7C27">
            <w:pPr>
              <w:spacing w:before="40" w:after="40" w:line="240" w:lineRule="auto"/>
              <w:jc w:val="center"/>
              <w:rPr>
                <w:rFonts w:eastAsia="Times New Roman" w:cstheme="minorHAnsi"/>
                <w:b/>
                <w:bCs/>
                <w:color w:val="000000"/>
                <w:sz w:val="18"/>
                <w:szCs w:val="18"/>
                <w:lang w:eastAsia="sk-SK"/>
              </w:rPr>
            </w:pPr>
            <w:r>
              <w:rPr>
                <w:rFonts w:eastAsia="Times New Roman" w:cstheme="minorHAnsi"/>
                <w:b/>
                <w:bCs/>
                <w:color w:val="000000"/>
                <w:sz w:val="18"/>
                <w:szCs w:val="18"/>
                <w:lang w:eastAsia="sk-SK"/>
              </w:rPr>
              <w:t>Ambiciózny scenár</w:t>
            </w:r>
          </w:p>
        </w:tc>
      </w:tr>
      <w:tr w:rsidR="005C2C3D" w:rsidRPr="000A6FA6" w14:paraId="41EA3838" w14:textId="5E8BCED3" w:rsidTr="005C2C3D">
        <w:trPr>
          <w:trHeight w:val="300"/>
        </w:trPr>
        <w:tc>
          <w:tcPr>
            <w:tcW w:w="3544"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02A3833F" w14:textId="71DF2370"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 xml:space="preserve">Hrubá mzda v stavebníctve </w:t>
            </w:r>
          </w:p>
        </w:tc>
        <w:tc>
          <w:tcPr>
            <w:tcW w:w="2683" w:type="dxa"/>
            <w:tcBorders>
              <w:top w:val="single" w:sz="12" w:space="0" w:color="auto"/>
              <w:left w:val="nil"/>
              <w:bottom w:val="single" w:sz="4" w:space="0" w:color="auto"/>
              <w:right w:val="single" w:sz="4" w:space="0" w:color="auto"/>
            </w:tcBorders>
            <w:shd w:val="clear" w:color="auto" w:fill="auto"/>
            <w:noWrap/>
            <w:vAlign w:val="center"/>
            <w:hideMark/>
          </w:tcPr>
          <w:p w14:paraId="55EEB6DE" w14:textId="6B19E050"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sz w:val="18"/>
                <w:szCs w:val="18"/>
              </w:rPr>
              <w:t>713,00 €</w:t>
            </w:r>
          </w:p>
        </w:tc>
        <w:tc>
          <w:tcPr>
            <w:tcW w:w="2835" w:type="dxa"/>
            <w:tcBorders>
              <w:top w:val="single" w:sz="12" w:space="0" w:color="auto"/>
              <w:left w:val="nil"/>
              <w:bottom w:val="single" w:sz="4" w:space="0" w:color="auto"/>
              <w:right w:val="single" w:sz="12" w:space="0" w:color="auto"/>
            </w:tcBorders>
            <w:vAlign w:val="center"/>
          </w:tcPr>
          <w:p w14:paraId="3D9C262A" w14:textId="099BD5FF"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sz w:val="18"/>
                <w:szCs w:val="18"/>
              </w:rPr>
              <w:t>713,00 €</w:t>
            </w:r>
          </w:p>
        </w:tc>
      </w:tr>
      <w:tr w:rsidR="005C2C3D" w:rsidRPr="000A6FA6" w14:paraId="587C32EB" w14:textId="38B88C08"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517B9775"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Čistá mzda</w:t>
            </w:r>
          </w:p>
        </w:tc>
        <w:tc>
          <w:tcPr>
            <w:tcW w:w="2683" w:type="dxa"/>
            <w:tcBorders>
              <w:top w:val="nil"/>
              <w:left w:val="nil"/>
              <w:bottom w:val="single" w:sz="4" w:space="0" w:color="auto"/>
              <w:right w:val="single" w:sz="4" w:space="0" w:color="auto"/>
            </w:tcBorders>
            <w:shd w:val="clear" w:color="auto" w:fill="auto"/>
            <w:noWrap/>
            <w:vAlign w:val="center"/>
            <w:hideMark/>
          </w:tcPr>
          <w:p w14:paraId="0D6E388D" w14:textId="78B7BEE6"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560,79 €</w:t>
            </w:r>
          </w:p>
        </w:tc>
        <w:tc>
          <w:tcPr>
            <w:tcW w:w="2835" w:type="dxa"/>
            <w:tcBorders>
              <w:top w:val="nil"/>
              <w:left w:val="nil"/>
              <w:bottom w:val="single" w:sz="4" w:space="0" w:color="auto"/>
              <w:right w:val="single" w:sz="12" w:space="0" w:color="auto"/>
            </w:tcBorders>
            <w:vAlign w:val="center"/>
          </w:tcPr>
          <w:p w14:paraId="4B8C67D9" w14:textId="0E3DA555"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560,79 €</w:t>
            </w:r>
          </w:p>
        </w:tc>
      </w:tr>
      <w:tr w:rsidR="005C2C3D" w:rsidRPr="000A6FA6" w14:paraId="60CCF3ED" w14:textId="4216F002"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2FBA35F7"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Sociálne poistenie - zamestnanec</w:t>
            </w:r>
          </w:p>
        </w:tc>
        <w:tc>
          <w:tcPr>
            <w:tcW w:w="2683" w:type="dxa"/>
            <w:tcBorders>
              <w:top w:val="nil"/>
              <w:left w:val="nil"/>
              <w:bottom w:val="single" w:sz="4" w:space="0" w:color="auto"/>
              <w:right w:val="single" w:sz="4" w:space="0" w:color="auto"/>
            </w:tcBorders>
            <w:shd w:val="clear" w:color="auto" w:fill="auto"/>
            <w:noWrap/>
            <w:vAlign w:val="center"/>
            <w:hideMark/>
          </w:tcPr>
          <w:p w14:paraId="15B52158" w14:textId="39CFDF76"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67,02 €</w:t>
            </w:r>
          </w:p>
        </w:tc>
        <w:tc>
          <w:tcPr>
            <w:tcW w:w="2835" w:type="dxa"/>
            <w:tcBorders>
              <w:top w:val="nil"/>
              <w:left w:val="nil"/>
              <w:bottom w:val="single" w:sz="4" w:space="0" w:color="auto"/>
              <w:right w:val="single" w:sz="12" w:space="0" w:color="auto"/>
            </w:tcBorders>
            <w:vAlign w:val="center"/>
          </w:tcPr>
          <w:p w14:paraId="07930C08" w14:textId="1893467F"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67,02 €</w:t>
            </w:r>
          </w:p>
        </w:tc>
      </w:tr>
      <w:tr w:rsidR="005C2C3D" w:rsidRPr="000A6FA6" w14:paraId="78FE228B" w14:textId="42B1ED86"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31B6A576"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Sociálne poistenie - zamestnávateľ</w:t>
            </w:r>
          </w:p>
        </w:tc>
        <w:tc>
          <w:tcPr>
            <w:tcW w:w="2683" w:type="dxa"/>
            <w:tcBorders>
              <w:top w:val="nil"/>
              <w:left w:val="nil"/>
              <w:bottom w:val="single" w:sz="4" w:space="0" w:color="auto"/>
              <w:right w:val="single" w:sz="4" w:space="0" w:color="auto"/>
            </w:tcBorders>
            <w:shd w:val="clear" w:color="auto" w:fill="auto"/>
            <w:noWrap/>
            <w:vAlign w:val="center"/>
            <w:hideMark/>
          </w:tcPr>
          <w:p w14:paraId="46F67BF4" w14:textId="397699DE"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179,66 €</w:t>
            </w:r>
          </w:p>
        </w:tc>
        <w:tc>
          <w:tcPr>
            <w:tcW w:w="2835" w:type="dxa"/>
            <w:tcBorders>
              <w:top w:val="nil"/>
              <w:left w:val="nil"/>
              <w:bottom w:val="single" w:sz="4" w:space="0" w:color="auto"/>
              <w:right w:val="single" w:sz="12" w:space="0" w:color="auto"/>
            </w:tcBorders>
            <w:vAlign w:val="center"/>
          </w:tcPr>
          <w:p w14:paraId="779384A3" w14:textId="6C611655"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179,66 €</w:t>
            </w:r>
          </w:p>
        </w:tc>
      </w:tr>
      <w:tr w:rsidR="005C2C3D" w:rsidRPr="000A6FA6" w14:paraId="0A819B69" w14:textId="6747FD47"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488025B5"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Zdravotné poistenie - zamestnanec</w:t>
            </w:r>
          </w:p>
        </w:tc>
        <w:tc>
          <w:tcPr>
            <w:tcW w:w="2683" w:type="dxa"/>
            <w:tcBorders>
              <w:top w:val="nil"/>
              <w:left w:val="nil"/>
              <w:bottom w:val="single" w:sz="4" w:space="0" w:color="auto"/>
              <w:right w:val="single" w:sz="4" w:space="0" w:color="auto"/>
            </w:tcBorders>
            <w:shd w:val="clear" w:color="auto" w:fill="auto"/>
            <w:noWrap/>
            <w:vAlign w:val="center"/>
            <w:hideMark/>
          </w:tcPr>
          <w:p w14:paraId="77336A4A" w14:textId="26705F35"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28,52 €</w:t>
            </w:r>
          </w:p>
        </w:tc>
        <w:tc>
          <w:tcPr>
            <w:tcW w:w="2835" w:type="dxa"/>
            <w:tcBorders>
              <w:top w:val="nil"/>
              <w:left w:val="nil"/>
              <w:bottom w:val="single" w:sz="4" w:space="0" w:color="auto"/>
              <w:right w:val="single" w:sz="12" w:space="0" w:color="auto"/>
            </w:tcBorders>
            <w:vAlign w:val="center"/>
          </w:tcPr>
          <w:p w14:paraId="4E40EAFF" w14:textId="74298F5F"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28,52 €</w:t>
            </w:r>
          </w:p>
        </w:tc>
      </w:tr>
      <w:tr w:rsidR="005C2C3D" w:rsidRPr="000A6FA6" w14:paraId="423AF319" w14:textId="72FF7EB0"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2933CECE"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Zdravotné poistenie - zamestnávateľ</w:t>
            </w:r>
          </w:p>
        </w:tc>
        <w:tc>
          <w:tcPr>
            <w:tcW w:w="2683" w:type="dxa"/>
            <w:tcBorders>
              <w:top w:val="nil"/>
              <w:left w:val="nil"/>
              <w:bottom w:val="single" w:sz="4" w:space="0" w:color="auto"/>
              <w:right w:val="single" w:sz="4" w:space="0" w:color="auto"/>
            </w:tcBorders>
            <w:shd w:val="clear" w:color="auto" w:fill="auto"/>
            <w:noWrap/>
            <w:vAlign w:val="center"/>
            <w:hideMark/>
          </w:tcPr>
          <w:p w14:paraId="43918F80" w14:textId="08AB739B"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71,30 €</w:t>
            </w:r>
          </w:p>
        </w:tc>
        <w:tc>
          <w:tcPr>
            <w:tcW w:w="2835" w:type="dxa"/>
            <w:tcBorders>
              <w:top w:val="nil"/>
              <w:left w:val="nil"/>
              <w:bottom w:val="single" w:sz="4" w:space="0" w:color="auto"/>
              <w:right w:val="single" w:sz="12" w:space="0" w:color="auto"/>
            </w:tcBorders>
            <w:vAlign w:val="center"/>
          </w:tcPr>
          <w:p w14:paraId="080CFE3C" w14:textId="11CD80F4"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71,30 €</w:t>
            </w:r>
          </w:p>
        </w:tc>
      </w:tr>
      <w:tr w:rsidR="005C2C3D" w:rsidRPr="000A6FA6" w14:paraId="079AA600" w14:textId="3CB04B4B"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6A8CD880"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Daň</w:t>
            </w:r>
          </w:p>
        </w:tc>
        <w:tc>
          <w:tcPr>
            <w:tcW w:w="2683" w:type="dxa"/>
            <w:tcBorders>
              <w:top w:val="nil"/>
              <w:left w:val="nil"/>
              <w:bottom w:val="single" w:sz="4" w:space="0" w:color="auto"/>
              <w:right w:val="single" w:sz="4" w:space="0" w:color="auto"/>
            </w:tcBorders>
            <w:shd w:val="clear" w:color="auto" w:fill="auto"/>
            <w:noWrap/>
            <w:vAlign w:val="center"/>
            <w:hideMark/>
          </w:tcPr>
          <w:p w14:paraId="385A9F36" w14:textId="7EF271C5"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56,67 €</w:t>
            </w:r>
          </w:p>
        </w:tc>
        <w:tc>
          <w:tcPr>
            <w:tcW w:w="2835" w:type="dxa"/>
            <w:tcBorders>
              <w:top w:val="nil"/>
              <w:left w:val="nil"/>
              <w:bottom w:val="single" w:sz="4" w:space="0" w:color="auto"/>
              <w:right w:val="single" w:sz="12" w:space="0" w:color="auto"/>
            </w:tcBorders>
            <w:vAlign w:val="center"/>
          </w:tcPr>
          <w:p w14:paraId="13CA6332" w14:textId="7FEDED4A"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56,67 €</w:t>
            </w:r>
          </w:p>
        </w:tc>
      </w:tr>
      <w:tr w:rsidR="005C2C3D" w:rsidRPr="000A6FA6" w14:paraId="483CBB06" w14:textId="15D9645C"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4EB1D9DC" w14:textId="77777777" w:rsidR="005C2C3D" w:rsidRPr="009840D5" w:rsidRDefault="005C2C3D" w:rsidP="00DB7C27">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Odvody a dane z priemernej mzdy v stavebníctve</w:t>
            </w:r>
          </w:p>
        </w:tc>
        <w:tc>
          <w:tcPr>
            <w:tcW w:w="2683" w:type="dxa"/>
            <w:tcBorders>
              <w:top w:val="nil"/>
              <w:left w:val="nil"/>
              <w:bottom w:val="single" w:sz="4" w:space="0" w:color="auto"/>
              <w:right w:val="single" w:sz="4" w:space="0" w:color="auto"/>
            </w:tcBorders>
            <w:shd w:val="clear" w:color="auto" w:fill="auto"/>
            <w:noWrap/>
            <w:vAlign w:val="center"/>
            <w:hideMark/>
          </w:tcPr>
          <w:p w14:paraId="17FFB7D9" w14:textId="08F43DA7"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403,17 €</w:t>
            </w:r>
          </w:p>
        </w:tc>
        <w:tc>
          <w:tcPr>
            <w:tcW w:w="2835" w:type="dxa"/>
            <w:tcBorders>
              <w:top w:val="nil"/>
              <w:left w:val="nil"/>
              <w:bottom w:val="single" w:sz="4" w:space="0" w:color="auto"/>
              <w:right w:val="single" w:sz="12" w:space="0" w:color="auto"/>
            </w:tcBorders>
            <w:vAlign w:val="center"/>
          </w:tcPr>
          <w:p w14:paraId="10070512" w14:textId="2DA101D4" w:rsidR="005C2C3D" w:rsidRPr="009840D5" w:rsidRDefault="005C2C3D" w:rsidP="00DB7C27">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403,17 €</w:t>
            </w:r>
          </w:p>
        </w:tc>
      </w:tr>
      <w:tr w:rsidR="005C2C3D" w:rsidRPr="000A6FA6" w14:paraId="7D43B906" w14:textId="28D02A27"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5CDFC20D"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Počet novovzniknutých pracovných miest</w:t>
            </w:r>
          </w:p>
        </w:tc>
        <w:tc>
          <w:tcPr>
            <w:tcW w:w="2683" w:type="dxa"/>
            <w:tcBorders>
              <w:top w:val="nil"/>
              <w:left w:val="nil"/>
              <w:bottom w:val="single" w:sz="4" w:space="0" w:color="auto"/>
              <w:right w:val="single" w:sz="4" w:space="0" w:color="auto"/>
            </w:tcBorders>
            <w:shd w:val="clear" w:color="auto" w:fill="auto"/>
            <w:noWrap/>
            <w:vAlign w:val="center"/>
          </w:tcPr>
          <w:p w14:paraId="0F2443A5" w14:textId="79B9D29E"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6527</w:t>
            </w:r>
          </w:p>
        </w:tc>
        <w:tc>
          <w:tcPr>
            <w:tcW w:w="2835" w:type="dxa"/>
            <w:tcBorders>
              <w:top w:val="nil"/>
              <w:left w:val="nil"/>
              <w:bottom w:val="single" w:sz="4" w:space="0" w:color="auto"/>
              <w:right w:val="single" w:sz="12" w:space="0" w:color="auto"/>
            </w:tcBorders>
            <w:vAlign w:val="center"/>
          </w:tcPr>
          <w:p w14:paraId="3756ADA0" w14:textId="68D1FB0C"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6327</w:t>
            </w:r>
          </w:p>
        </w:tc>
      </w:tr>
      <w:tr w:rsidR="005C2C3D" w:rsidRPr="000A6FA6" w14:paraId="2CDACA9D" w14:textId="471009E6"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2A1E2234" w14:textId="20C0E383"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Celkový prínos do verejného rozpočtu (mesačne)</w:t>
            </w:r>
          </w:p>
        </w:tc>
        <w:tc>
          <w:tcPr>
            <w:tcW w:w="2683" w:type="dxa"/>
            <w:tcBorders>
              <w:top w:val="nil"/>
              <w:left w:val="nil"/>
              <w:bottom w:val="single" w:sz="4" w:space="0" w:color="auto"/>
              <w:right w:val="single" w:sz="4" w:space="0" w:color="auto"/>
            </w:tcBorders>
            <w:shd w:val="clear" w:color="auto" w:fill="auto"/>
            <w:noWrap/>
            <w:vAlign w:val="center"/>
          </w:tcPr>
          <w:p w14:paraId="6112E4A7" w14:textId="350C8DA1"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2 631 491 €</w:t>
            </w:r>
          </w:p>
        </w:tc>
        <w:tc>
          <w:tcPr>
            <w:tcW w:w="2835" w:type="dxa"/>
            <w:tcBorders>
              <w:top w:val="nil"/>
              <w:left w:val="nil"/>
              <w:bottom w:val="single" w:sz="4" w:space="0" w:color="auto"/>
              <w:right w:val="single" w:sz="12" w:space="0" w:color="auto"/>
            </w:tcBorders>
            <w:vAlign w:val="center"/>
          </w:tcPr>
          <w:p w14:paraId="73ED42EA" w14:textId="3DA234D4"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2 550 857 €</w:t>
            </w:r>
          </w:p>
        </w:tc>
      </w:tr>
      <w:tr w:rsidR="005C2C3D" w:rsidRPr="000A6FA6" w14:paraId="3F8EBDF5" w14:textId="5BD063E1"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609BAABF" w14:textId="099EA79C" w:rsidR="005C2C3D" w:rsidRPr="009840D5" w:rsidRDefault="005C2C3D" w:rsidP="009840D5">
            <w:pPr>
              <w:spacing w:before="40" w:after="40" w:line="240" w:lineRule="auto"/>
              <w:rPr>
                <w:rFonts w:eastAsia="Times New Roman" w:cstheme="minorHAnsi"/>
                <w:b/>
                <w:bCs/>
                <w:color w:val="000000"/>
                <w:sz w:val="18"/>
                <w:szCs w:val="18"/>
                <w:lang w:eastAsia="sk-SK"/>
              </w:rPr>
            </w:pPr>
            <w:r w:rsidRPr="009840D5">
              <w:rPr>
                <w:rFonts w:eastAsia="Times New Roman" w:cstheme="minorHAnsi"/>
                <w:b/>
                <w:bCs/>
                <w:color w:val="000000"/>
                <w:sz w:val="18"/>
                <w:szCs w:val="18"/>
                <w:lang w:eastAsia="sk-SK"/>
              </w:rPr>
              <w:t>Celkový prínos do verejného rozpočtu (ročne)</w:t>
            </w:r>
          </w:p>
        </w:tc>
        <w:tc>
          <w:tcPr>
            <w:tcW w:w="2683" w:type="dxa"/>
            <w:tcBorders>
              <w:top w:val="nil"/>
              <w:left w:val="nil"/>
              <w:bottom w:val="single" w:sz="4" w:space="0" w:color="auto"/>
              <w:right w:val="single" w:sz="4" w:space="0" w:color="auto"/>
            </w:tcBorders>
            <w:shd w:val="clear" w:color="auto" w:fill="auto"/>
            <w:noWrap/>
            <w:vAlign w:val="center"/>
          </w:tcPr>
          <w:p w14:paraId="4EF246B0" w14:textId="074023A5"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31 577 887 €</w:t>
            </w:r>
          </w:p>
        </w:tc>
        <w:tc>
          <w:tcPr>
            <w:tcW w:w="2835" w:type="dxa"/>
            <w:tcBorders>
              <w:top w:val="nil"/>
              <w:left w:val="nil"/>
              <w:bottom w:val="single" w:sz="4" w:space="0" w:color="auto"/>
              <w:right w:val="single" w:sz="12" w:space="0" w:color="auto"/>
            </w:tcBorders>
            <w:vAlign w:val="center"/>
          </w:tcPr>
          <w:p w14:paraId="0AD4AB36" w14:textId="42A4204C"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30 610 279 €</w:t>
            </w:r>
          </w:p>
        </w:tc>
      </w:tr>
      <w:tr w:rsidR="005C2C3D" w:rsidRPr="000A6FA6" w14:paraId="3E22C89E" w14:textId="1134A208"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744BB681" w14:textId="77777777" w:rsidR="005C2C3D" w:rsidRPr="009840D5" w:rsidRDefault="005C2C3D" w:rsidP="00DB7C27">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DPH</w:t>
            </w:r>
          </w:p>
        </w:tc>
        <w:tc>
          <w:tcPr>
            <w:tcW w:w="2683" w:type="dxa"/>
            <w:tcBorders>
              <w:top w:val="nil"/>
              <w:left w:val="nil"/>
              <w:bottom w:val="single" w:sz="4" w:space="0" w:color="auto"/>
              <w:right w:val="single" w:sz="4" w:space="0" w:color="auto"/>
            </w:tcBorders>
            <w:shd w:val="clear" w:color="auto" w:fill="auto"/>
            <w:noWrap/>
            <w:vAlign w:val="center"/>
            <w:hideMark/>
          </w:tcPr>
          <w:p w14:paraId="17A55E63" w14:textId="77777777" w:rsidR="005C2C3D" w:rsidRPr="009840D5" w:rsidRDefault="005C2C3D" w:rsidP="00DB7C27">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20%</w:t>
            </w:r>
          </w:p>
        </w:tc>
        <w:tc>
          <w:tcPr>
            <w:tcW w:w="2835" w:type="dxa"/>
            <w:tcBorders>
              <w:top w:val="nil"/>
              <w:left w:val="nil"/>
              <w:bottom w:val="single" w:sz="4" w:space="0" w:color="auto"/>
              <w:right w:val="single" w:sz="12" w:space="0" w:color="auto"/>
            </w:tcBorders>
            <w:vAlign w:val="center"/>
          </w:tcPr>
          <w:p w14:paraId="712265A0" w14:textId="63F2C600" w:rsidR="005C2C3D" w:rsidRPr="009840D5" w:rsidRDefault="005C2C3D" w:rsidP="00DB7C27">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20%</w:t>
            </w:r>
          </w:p>
        </w:tc>
      </w:tr>
      <w:tr w:rsidR="005C2C3D" w:rsidRPr="000A6FA6" w14:paraId="603734EF" w14:textId="3EF95614"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57772845"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Investícia do obnovy</w:t>
            </w:r>
          </w:p>
        </w:tc>
        <w:tc>
          <w:tcPr>
            <w:tcW w:w="2683" w:type="dxa"/>
            <w:tcBorders>
              <w:top w:val="nil"/>
              <w:left w:val="nil"/>
              <w:bottom w:val="single" w:sz="4" w:space="0" w:color="auto"/>
              <w:right w:val="single" w:sz="4" w:space="0" w:color="auto"/>
            </w:tcBorders>
            <w:shd w:val="clear" w:color="auto" w:fill="auto"/>
            <w:noWrap/>
            <w:vAlign w:val="center"/>
          </w:tcPr>
          <w:p w14:paraId="1150B4DD" w14:textId="16C5E1F1"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227 415 382 €</w:t>
            </w:r>
          </w:p>
        </w:tc>
        <w:tc>
          <w:tcPr>
            <w:tcW w:w="2835" w:type="dxa"/>
            <w:tcBorders>
              <w:top w:val="nil"/>
              <w:left w:val="nil"/>
              <w:bottom w:val="single" w:sz="4" w:space="0" w:color="auto"/>
              <w:right w:val="single" w:sz="12" w:space="0" w:color="auto"/>
            </w:tcBorders>
            <w:vAlign w:val="center"/>
          </w:tcPr>
          <w:p w14:paraId="0539E9AB" w14:textId="40798DF4"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220 454 395 €</w:t>
            </w:r>
          </w:p>
        </w:tc>
      </w:tr>
      <w:tr w:rsidR="005C2C3D" w:rsidRPr="000A6FA6" w14:paraId="28B32E2E" w14:textId="7AEC313C"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40F6ACEF" w14:textId="1EB30FC1"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 xml:space="preserve">Pridaná hodnota z investície*** </w:t>
            </w:r>
          </w:p>
        </w:tc>
        <w:tc>
          <w:tcPr>
            <w:tcW w:w="2683" w:type="dxa"/>
            <w:tcBorders>
              <w:top w:val="nil"/>
              <w:left w:val="nil"/>
              <w:bottom w:val="single" w:sz="4" w:space="0" w:color="auto"/>
              <w:right w:val="single" w:sz="4" w:space="0" w:color="auto"/>
            </w:tcBorders>
            <w:shd w:val="clear" w:color="auto" w:fill="auto"/>
            <w:noWrap/>
            <w:vAlign w:val="center"/>
          </w:tcPr>
          <w:p w14:paraId="52552D2E" w14:textId="5F12D17A"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45 483 076 €</w:t>
            </w:r>
          </w:p>
        </w:tc>
        <w:tc>
          <w:tcPr>
            <w:tcW w:w="2835" w:type="dxa"/>
            <w:tcBorders>
              <w:top w:val="nil"/>
              <w:left w:val="nil"/>
              <w:bottom w:val="single" w:sz="4" w:space="0" w:color="auto"/>
              <w:right w:val="single" w:sz="12" w:space="0" w:color="auto"/>
            </w:tcBorders>
            <w:vAlign w:val="center"/>
          </w:tcPr>
          <w:p w14:paraId="59664832" w14:textId="6FFB2988"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44 090 879 €</w:t>
            </w:r>
          </w:p>
        </w:tc>
      </w:tr>
      <w:tr w:rsidR="005C2C3D" w:rsidRPr="000A6FA6" w14:paraId="755076A9" w14:textId="283B124D"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7CFF66D6" w14:textId="77777777" w:rsidR="005C2C3D" w:rsidRPr="009840D5" w:rsidRDefault="005C2C3D" w:rsidP="009840D5">
            <w:pPr>
              <w:spacing w:before="40" w:after="40" w:line="240" w:lineRule="auto"/>
              <w:rPr>
                <w:rFonts w:eastAsia="Times New Roman" w:cstheme="minorHAnsi"/>
                <w:b/>
                <w:bCs/>
                <w:color w:val="000000"/>
                <w:sz w:val="18"/>
                <w:szCs w:val="18"/>
                <w:lang w:eastAsia="sk-SK"/>
              </w:rPr>
            </w:pPr>
            <w:r w:rsidRPr="009840D5">
              <w:rPr>
                <w:rFonts w:eastAsia="Times New Roman" w:cstheme="minorHAnsi"/>
                <w:b/>
                <w:bCs/>
                <w:color w:val="000000"/>
                <w:sz w:val="18"/>
                <w:szCs w:val="18"/>
                <w:lang w:eastAsia="sk-SK"/>
              </w:rPr>
              <w:t>Prínos z DPH (jednorázovo)</w:t>
            </w:r>
          </w:p>
        </w:tc>
        <w:tc>
          <w:tcPr>
            <w:tcW w:w="2683" w:type="dxa"/>
            <w:tcBorders>
              <w:top w:val="nil"/>
              <w:left w:val="nil"/>
              <w:bottom w:val="single" w:sz="4" w:space="0" w:color="auto"/>
              <w:right w:val="single" w:sz="4" w:space="0" w:color="auto"/>
            </w:tcBorders>
            <w:shd w:val="clear" w:color="auto" w:fill="auto"/>
            <w:noWrap/>
            <w:vAlign w:val="center"/>
          </w:tcPr>
          <w:p w14:paraId="6D190E8F" w14:textId="598D52BA"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9 096 615 €</w:t>
            </w:r>
          </w:p>
        </w:tc>
        <w:tc>
          <w:tcPr>
            <w:tcW w:w="2835" w:type="dxa"/>
            <w:tcBorders>
              <w:top w:val="nil"/>
              <w:left w:val="nil"/>
              <w:bottom w:val="single" w:sz="4" w:space="0" w:color="auto"/>
              <w:right w:val="single" w:sz="12" w:space="0" w:color="auto"/>
            </w:tcBorders>
            <w:vAlign w:val="center"/>
          </w:tcPr>
          <w:p w14:paraId="63509406" w14:textId="1DAB9685"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8 818 176 €</w:t>
            </w:r>
          </w:p>
        </w:tc>
      </w:tr>
      <w:tr w:rsidR="005C2C3D" w:rsidRPr="000A6FA6" w14:paraId="757B0D85" w14:textId="3AF9785E"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64C42DA0" w14:textId="185F73AE" w:rsidR="005C2C3D" w:rsidRPr="009840D5" w:rsidRDefault="005C2C3D" w:rsidP="00DB7C27">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Podpora v nezamestnanosti (modelovaná mesačná)</w:t>
            </w:r>
          </w:p>
        </w:tc>
        <w:tc>
          <w:tcPr>
            <w:tcW w:w="2683" w:type="dxa"/>
            <w:tcBorders>
              <w:top w:val="nil"/>
              <w:left w:val="nil"/>
              <w:bottom w:val="single" w:sz="4" w:space="0" w:color="auto"/>
              <w:right w:val="single" w:sz="4" w:space="0" w:color="auto"/>
            </w:tcBorders>
            <w:shd w:val="clear" w:color="auto" w:fill="auto"/>
            <w:noWrap/>
            <w:vAlign w:val="center"/>
            <w:hideMark/>
          </w:tcPr>
          <w:p w14:paraId="55172F36" w14:textId="4B019835" w:rsidR="005C2C3D" w:rsidRPr="009840D5" w:rsidRDefault="005C2C3D" w:rsidP="00DB7C27">
            <w:pPr>
              <w:spacing w:before="40" w:after="40" w:line="240" w:lineRule="auto"/>
              <w:jc w:val="center"/>
              <w:rPr>
                <w:rFonts w:eastAsia="Times New Roman" w:cstheme="minorHAnsi"/>
                <w:color w:val="000000"/>
                <w:sz w:val="18"/>
                <w:szCs w:val="18"/>
                <w:lang w:eastAsia="sk-SK"/>
              </w:rPr>
            </w:pPr>
            <w:r w:rsidRPr="009840D5">
              <w:rPr>
                <w:rFonts w:eastAsia="Times New Roman" w:cstheme="minorHAnsi"/>
                <w:color w:val="000000"/>
                <w:sz w:val="18"/>
                <w:szCs w:val="18"/>
                <w:lang w:eastAsia="sk-SK"/>
              </w:rPr>
              <w:t>296,4 €</w:t>
            </w:r>
          </w:p>
        </w:tc>
        <w:tc>
          <w:tcPr>
            <w:tcW w:w="2835" w:type="dxa"/>
            <w:tcBorders>
              <w:top w:val="nil"/>
              <w:left w:val="nil"/>
              <w:bottom w:val="single" w:sz="4" w:space="0" w:color="auto"/>
              <w:right w:val="single" w:sz="12" w:space="0" w:color="auto"/>
            </w:tcBorders>
            <w:vAlign w:val="center"/>
          </w:tcPr>
          <w:p w14:paraId="735F4C07" w14:textId="035D88B2" w:rsidR="005C2C3D" w:rsidRPr="009840D5" w:rsidRDefault="005C2C3D" w:rsidP="00DB7C27">
            <w:pPr>
              <w:spacing w:before="40" w:after="40"/>
              <w:jc w:val="center"/>
              <w:rPr>
                <w:rFonts w:cstheme="minorHAnsi"/>
                <w:sz w:val="18"/>
                <w:szCs w:val="18"/>
              </w:rPr>
            </w:pPr>
            <w:r w:rsidRPr="009840D5">
              <w:rPr>
                <w:rFonts w:cstheme="minorHAnsi"/>
                <w:sz w:val="18"/>
                <w:szCs w:val="18"/>
              </w:rPr>
              <w:t>410 €**</w:t>
            </w:r>
          </w:p>
        </w:tc>
      </w:tr>
      <w:tr w:rsidR="005C2C3D" w:rsidRPr="000A6FA6" w14:paraId="7493824A" w14:textId="76A7C9AF"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0CC29E88"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Počet novovzniknutých pracovných miest</w:t>
            </w:r>
          </w:p>
        </w:tc>
        <w:tc>
          <w:tcPr>
            <w:tcW w:w="2683" w:type="dxa"/>
            <w:tcBorders>
              <w:top w:val="nil"/>
              <w:left w:val="nil"/>
              <w:bottom w:val="single" w:sz="4" w:space="0" w:color="auto"/>
              <w:right w:val="single" w:sz="4" w:space="0" w:color="auto"/>
            </w:tcBorders>
            <w:shd w:val="clear" w:color="auto" w:fill="auto"/>
            <w:noWrap/>
            <w:vAlign w:val="center"/>
          </w:tcPr>
          <w:p w14:paraId="21487A96" w14:textId="145FE988"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6527</w:t>
            </w:r>
          </w:p>
        </w:tc>
        <w:tc>
          <w:tcPr>
            <w:tcW w:w="2835" w:type="dxa"/>
            <w:tcBorders>
              <w:top w:val="nil"/>
              <w:left w:val="nil"/>
              <w:bottom w:val="single" w:sz="4" w:space="0" w:color="auto"/>
              <w:right w:val="single" w:sz="12" w:space="0" w:color="auto"/>
            </w:tcBorders>
            <w:vAlign w:val="center"/>
          </w:tcPr>
          <w:p w14:paraId="283CED1B" w14:textId="3E8EB696"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6327</w:t>
            </w:r>
          </w:p>
        </w:tc>
      </w:tr>
      <w:tr w:rsidR="005C2C3D" w:rsidRPr="000A6FA6" w14:paraId="58B11199" w14:textId="488406C0" w:rsidTr="005C2C3D">
        <w:trPr>
          <w:trHeight w:val="300"/>
        </w:trPr>
        <w:tc>
          <w:tcPr>
            <w:tcW w:w="3544" w:type="dxa"/>
            <w:tcBorders>
              <w:top w:val="nil"/>
              <w:left w:val="single" w:sz="12" w:space="0" w:color="auto"/>
              <w:bottom w:val="single" w:sz="4" w:space="0" w:color="auto"/>
              <w:right w:val="single" w:sz="4" w:space="0" w:color="auto"/>
            </w:tcBorders>
            <w:shd w:val="clear" w:color="auto" w:fill="auto"/>
            <w:noWrap/>
            <w:vAlign w:val="bottom"/>
            <w:hideMark/>
          </w:tcPr>
          <w:p w14:paraId="59FA3AC1" w14:textId="77777777" w:rsidR="005C2C3D" w:rsidRPr="009840D5" w:rsidRDefault="005C2C3D" w:rsidP="009840D5">
            <w:pPr>
              <w:spacing w:before="40" w:after="40" w:line="240" w:lineRule="auto"/>
              <w:rPr>
                <w:rFonts w:eastAsia="Times New Roman" w:cstheme="minorHAnsi"/>
                <w:color w:val="000000"/>
                <w:sz w:val="18"/>
                <w:szCs w:val="18"/>
                <w:lang w:eastAsia="sk-SK"/>
              </w:rPr>
            </w:pPr>
            <w:r w:rsidRPr="009840D5">
              <w:rPr>
                <w:rFonts w:eastAsia="Times New Roman" w:cstheme="minorHAnsi"/>
                <w:color w:val="000000"/>
                <w:sz w:val="18"/>
                <w:szCs w:val="18"/>
                <w:lang w:eastAsia="sk-SK"/>
              </w:rPr>
              <w:t>Úspora verejných financií (mesačne)</w:t>
            </w:r>
          </w:p>
        </w:tc>
        <w:tc>
          <w:tcPr>
            <w:tcW w:w="2683" w:type="dxa"/>
            <w:tcBorders>
              <w:top w:val="nil"/>
              <w:left w:val="nil"/>
              <w:bottom w:val="single" w:sz="4" w:space="0" w:color="auto"/>
              <w:right w:val="single" w:sz="4" w:space="0" w:color="auto"/>
            </w:tcBorders>
            <w:shd w:val="clear" w:color="auto" w:fill="auto"/>
            <w:noWrap/>
            <w:vAlign w:val="center"/>
          </w:tcPr>
          <w:p w14:paraId="6FACF147" w14:textId="78A42620"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2 676 070 €</w:t>
            </w:r>
          </w:p>
        </w:tc>
        <w:tc>
          <w:tcPr>
            <w:tcW w:w="2835" w:type="dxa"/>
            <w:tcBorders>
              <w:top w:val="nil"/>
              <w:left w:val="nil"/>
              <w:bottom w:val="single" w:sz="4" w:space="0" w:color="auto"/>
              <w:right w:val="single" w:sz="12" w:space="0" w:color="auto"/>
            </w:tcBorders>
            <w:vAlign w:val="center"/>
          </w:tcPr>
          <w:p w14:paraId="56022FE7" w14:textId="4C57A418" w:rsidR="005C2C3D" w:rsidRPr="009840D5" w:rsidRDefault="005C2C3D" w:rsidP="009840D5">
            <w:pPr>
              <w:spacing w:before="40" w:after="40" w:line="240" w:lineRule="auto"/>
              <w:jc w:val="center"/>
              <w:rPr>
                <w:rFonts w:eastAsia="Times New Roman" w:cstheme="minorHAnsi"/>
                <w:color w:val="000000"/>
                <w:sz w:val="18"/>
                <w:szCs w:val="18"/>
                <w:lang w:eastAsia="sk-SK"/>
              </w:rPr>
            </w:pPr>
            <w:r w:rsidRPr="009840D5">
              <w:rPr>
                <w:rFonts w:cstheme="minorHAnsi"/>
                <w:color w:val="000000"/>
                <w:sz w:val="18"/>
                <w:szCs w:val="18"/>
              </w:rPr>
              <w:t>2 594 070 €</w:t>
            </w:r>
          </w:p>
        </w:tc>
      </w:tr>
      <w:tr w:rsidR="005C2C3D" w:rsidRPr="000A6FA6" w14:paraId="7030239E" w14:textId="090CCA5E" w:rsidTr="005C2C3D">
        <w:trPr>
          <w:trHeight w:val="300"/>
        </w:trPr>
        <w:tc>
          <w:tcPr>
            <w:tcW w:w="3544" w:type="dxa"/>
            <w:tcBorders>
              <w:top w:val="nil"/>
              <w:left w:val="single" w:sz="12" w:space="0" w:color="auto"/>
              <w:bottom w:val="single" w:sz="12" w:space="0" w:color="auto"/>
              <w:right w:val="single" w:sz="4" w:space="0" w:color="auto"/>
            </w:tcBorders>
            <w:shd w:val="clear" w:color="auto" w:fill="auto"/>
            <w:noWrap/>
            <w:vAlign w:val="bottom"/>
            <w:hideMark/>
          </w:tcPr>
          <w:p w14:paraId="1BFD0E80" w14:textId="77777777" w:rsidR="005C2C3D" w:rsidRPr="009840D5" w:rsidRDefault="005C2C3D" w:rsidP="009840D5">
            <w:pPr>
              <w:spacing w:before="40" w:after="40" w:line="240" w:lineRule="auto"/>
              <w:rPr>
                <w:rFonts w:eastAsia="Times New Roman" w:cstheme="minorHAnsi"/>
                <w:b/>
                <w:bCs/>
                <w:color w:val="000000"/>
                <w:sz w:val="18"/>
                <w:szCs w:val="18"/>
                <w:lang w:eastAsia="sk-SK"/>
              </w:rPr>
            </w:pPr>
            <w:r w:rsidRPr="009840D5">
              <w:rPr>
                <w:rFonts w:eastAsia="Times New Roman" w:cstheme="minorHAnsi"/>
                <w:b/>
                <w:bCs/>
                <w:color w:val="000000"/>
                <w:sz w:val="18"/>
                <w:szCs w:val="18"/>
                <w:lang w:eastAsia="sk-SK"/>
              </w:rPr>
              <w:t>Úspora verejných financií (ročne)</w:t>
            </w:r>
          </w:p>
        </w:tc>
        <w:tc>
          <w:tcPr>
            <w:tcW w:w="2683" w:type="dxa"/>
            <w:tcBorders>
              <w:top w:val="nil"/>
              <w:left w:val="nil"/>
              <w:bottom w:val="single" w:sz="12" w:space="0" w:color="auto"/>
              <w:right w:val="single" w:sz="4" w:space="0" w:color="auto"/>
            </w:tcBorders>
            <w:shd w:val="clear" w:color="auto" w:fill="auto"/>
            <w:noWrap/>
            <w:vAlign w:val="center"/>
          </w:tcPr>
          <w:p w14:paraId="5621F7E6" w14:textId="60088359"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32 112 840 €</w:t>
            </w:r>
          </w:p>
        </w:tc>
        <w:tc>
          <w:tcPr>
            <w:tcW w:w="2835" w:type="dxa"/>
            <w:tcBorders>
              <w:top w:val="nil"/>
              <w:left w:val="nil"/>
              <w:bottom w:val="single" w:sz="12" w:space="0" w:color="auto"/>
              <w:right w:val="single" w:sz="12" w:space="0" w:color="auto"/>
            </w:tcBorders>
            <w:vAlign w:val="center"/>
          </w:tcPr>
          <w:p w14:paraId="3BAFEF55" w14:textId="41A3C885"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31 128 840 €</w:t>
            </w:r>
          </w:p>
        </w:tc>
      </w:tr>
      <w:tr w:rsidR="005C2C3D" w:rsidRPr="000A6FA6" w14:paraId="419E2B79" w14:textId="30020960" w:rsidTr="005C2C3D">
        <w:trPr>
          <w:trHeight w:val="300"/>
        </w:trPr>
        <w:tc>
          <w:tcPr>
            <w:tcW w:w="3544" w:type="dxa"/>
            <w:tcBorders>
              <w:top w:val="single" w:sz="12" w:space="0" w:color="auto"/>
              <w:left w:val="single" w:sz="12" w:space="0" w:color="auto"/>
              <w:bottom w:val="single" w:sz="12" w:space="0" w:color="auto"/>
              <w:right w:val="single" w:sz="4" w:space="0" w:color="auto"/>
            </w:tcBorders>
            <w:shd w:val="clear" w:color="auto" w:fill="auto"/>
            <w:noWrap/>
            <w:vAlign w:val="bottom"/>
          </w:tcPr>
          <w:p w14:paraId="119B4A40" w14:textId="077388FC" w:rsidR="005C2C3D" w:rsidRPr="009840D5" w:rsidRDefault="005C2C3D" w:rsidP="009840D5">
            <w:pPr>
              <w:spacing w:before="40" w:after="40" w:line="240" w:lineRule="auto"/>
              <w:rPr>
                <w:rFonts w:eastAsia="Times New Roman" w:cstheme="minorHAnsi"/>
                <w:b/>
                <w:bCs/>
                <w:color w:val="000000"/>
                <w:sz w:val="18"/>
                <w:szCs w:val="18"/>
                <w:lang w:eastAsia="sk-SK"/>
              </w:rPr>
            </w:pPr>
            <w:r w:rsidRPr="009840D5">
              <w:rPr>
                <w:rFonts w:eastAsia="Calibri" w:cstheme="minorHAnsi"/>
                <w:b/>
                <w:bCs/>
                <w:sz w:val="18"/>
                <w:szCs w:val="18"/>
              </w:rPr>
              <w:t xml:space="preserve">Celkové prínosy modelovej investície do verejného rozpočtu </w:t>
            </w:r>
            <w:r w:rsidRPr="009840D5">
              <w:rPr>
                <w:rFonts w:eastAsia="Times New Roman" w:cstheme="minorHAnsi"/>
                <w:b/>
                <w:bCs/>
                <w:color w:val="000000"/>
                <w:sz w:val="18"/>
                <w:szCs w:val="18"/>
                <w:lang w:eastAsia="sk-SK"/>
              </w:rPr>
              <w:t>(ročne)****</w:t>
            </w:r>
          </w:p>
        </w:tc>
        <w:tc>
          <w:tcPr>
            <w:tcW w:w="2683" w:type="dxa"/>
            <w:tcBorders>
              <w:top w:val="single" w:sz="12" w:space="0" w:color="auto"/>
              <w:left w:val="nil"/>
              <w:bottom w:val="single" w:sz="12" w:space="0" w:color="auto"/>
              <w:right w:val="single" w:sz="4" w:space="0" w:color="auto"/>
            </w:tcBorders>
            <w:shd w:val="clear" w:color="auto" w:fill="auto"/>
            <w:noWrap/>
            <w:vAlign w:val="center"/>
          </w:tcPr>
          <w:p w14:paraId="0D7C283C" w14:textId="003EDC75"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72 787 342 €</w:t>
            </w:r>
          </w:p>
        </w:tc>
        <w:tc>
          <w:tcPr>
            <w:tcW w:w="2835" w:type="dxa"/>
            <w:tcBorders>
              <w:top w:val="single" w:sz="12" w:space="0" w:color="auto"/>
              <w:left w:val="nil"/>
              <w:bottom w:val="single" w:sz="12" w:space="0" w:color="auto"/>
              <w:right w:val="single" w:sz="12" w:space="0" w:color="auto"/>
            </w:tcBorders>
            <w:vAlign w:val="center"/>
          </w:tcPr>
          <w:p w14:paraId="6F203500" w14:textId="069C231D" w:rsidR="005C2C3D" w:rsidRPr="009840D5" w:rsidRDefault="005C2C3D" w:rsidP="009840D5">
            <w:pPr>
              <w:spacing w:before="40" w:after="40" w:line="240" w:lineRule="auto"/>
              <w:jc w:val="center"/>
              <w:rPr>
                <w:rFonts w:eastAsia="Times New Roman" w:cstheme="minorHAnsi"/>
                <w:b/>
                <w:bCs/>
                <w:color w:val="000000"/>
                <w:sz w:val="18"/>
                <w:szCs w:val="18"/>
                <w:lang w:eastAsia="sk-SK"/>
              </w:rPr>
            </w:pPr>
            <w:r w:rsidRPr="009840D5">
              <w:rPr>
                <w:rFonts w:cstheme="minorHAnsi"/>
                <w:b/>
                <w:bCs/>
                <w:color w:val="000000"/>
                <w:sz w:val="18"/>
                <w:szCs w:val="18"/>
              </w:rPr>
              <w:t>70 557 295 €</w:t>
            </w:r>
          </w:p>
        </w:tc>
      </w:tr>
    </w:tbl>
    <w:p w14:paraId="46FF6D81" w14:textId="79361833" w:rsidR="0016675C" w:rsidRDefault="0016675C" w:rsidP="0016675C">
      <w:pPr>
        <w:jc w:val="both"/>
      </w:pPr>
    </w:p>
    <w:p w14:paraId="3B1AAED5" w14:textId="5D28516A" w:rsidR="00334977" w:rsidRDefault="00DB1FF5" w:rsidP="00334977">
      <w:pPr>
        <w:jc w:val="both"/>
      </w:pPr>
      <w:r>
        <w:t>*</w:t>
      </w:r>
      <w:r w:rsidR="00E43F26">
        <w:t>P</w:t>
      </w:r>
      <w:r>
        <w:t>očítané pre rok 2018</w:t>
      </w:r>
      <w:r w:rsidR="005D496C">
        <w:t xml:space="preserve"> (</w:t>
      </w:r>
      <w:hyperlink r:id="rId13" w:history="1">
        <w:r w:rsidR="005D496C" w:rsidRPr="00590C7D">
          <w:rPr>
            <w:rStyle w:val="Hypertextovodkaz"/>
          </w:rPr>
          <w:t>https://index.sme.sk/kalkulacky/kalkulator-cistej-mzdy/2018</w:t>
        </w:r>
      </w:hyperlink>
      <w:r w:rsidR="005D496C">
        <w:t>)</w:t>
      </w:r>
      <w:r w:rsidR="00CC5D53">
        <w:t>,</w:t>
      </w:r>
    </w:p>
    <w:p w14:paraId="24335542" w14:textId="6EC828E5" w:rsidR="005D496C" w:rsidRDefault="005D496C" w:rsidP="00334977">
      <w:pPr>
        <w:jc w:val="both"/>
      </w:pPr>
      <w:r>
        <w:t>**</w:t>
      </w:r>
      <w:r w:rsidR="00E43F26">
        <w:t>Priemerný údaj</w:t>
      </w:r>
      <w:r>
        <w:t xml:space="preserve"> </w:t>
      </w:r>
      <w:r w:rsidR="00334977">
        <w:t>(</w:t>
      </w:r>
      <w:hyperlink r:id="rId14" w:history="1">
        <w:r w:rsidR="00DB7C27" w:rsidRPr="00590C7D">
          <w:rPr>
            <w:rStyle w:val="Hypertextovodkaz"/>
          </w:rPr>
          <w:t>https://www.socpoist.sk/priemerna-vyska-davky-v-nezamestnanosti/1663s</w:t>
        </w:r>
      </w:hyperlink>
      <w:r w:rsidR="00334977">
        <w:t>)</w:t>
      </w:r>
      <w:r w:rsidR="00CC5D53">
        <w:t>,</w:t>
      </w:r>
    </w:p>
    <w:p w14:paraId="5589C7FD" w14:textId="619646D5" w:rsidR="00DB7C27" w:rsidRPr="00DB7C27" w:rsidRDefault="00DB7C27" w:rsidP="00334977">
      <w:pPr>
        <w:jc w:val="both"/>
        <w:rPr>
          <w:iCs/>
        </w:rPr>
      </w:pPr>
      <w:r>
        <w:rPr>
          <w:iCs/>
        </w:rPr>
        <w:t>***</w:t>
      </w:r>
      <w:r w:rsidR="00CC5D53">
        <w:rPr>
          <w:iCs/>
        </w:rPr>
        <w:t>V</w:t>
      </w:r>
      <w:r w:rsidRPr="00DB7C27">
        <w:rPr>
          <w:iCs/>
        </w:rPr>
        <w:t>ýška pridanej hodnoty sa uvažuje na úrovni 20%</w:t>
      </w:r>
      <w:r w:rsidR="00CC5D53">
        <w:rPr>
          <w:iCs/>
        </w:rPr>
        <w:t>,</w:t>
      </w:r>
    </w:p>
    <w:p w14:paraId="7FA282A9" w14:textId="146CB459" w:rsidR="00334977" w:rsidRDefault="00E43F26" w:rsidP="0016675C">
      <w:pPr>
        <w:jc w:val="both"/>
      </w:pPr>
      <w:r>
        <w:t>***</w:t>
      </w:r>
      <w:r w:rsidR="00DB7C27">
        <w:t>*</w:t>
      </w:r>
      <w:r>
        <w:t>Výpočet počíta so 100</w:t>
      </w:r>
      <w:r w:rsidR="00CC5D53">
        <w:t>-</w:t>
      </w:r>
      <w:r>
        <w:t>percentným podielom novovytvorených pracovných miest</w:t>
      </w:r>
      <w:r w:rsidR="00CC5D53">
        <w:t>.</w:t>
      </w:r>
    </w:p>
    <w:p w14:paraId="294F8988" w14:textId="2D734CAF" w:rsidR="00EE2892" w:rsidRDefault="00EE2892" w:rsidP="0016675C">
      <w:pPr>
        <w:jc w:val="both"/>
      </w:pPr>
    </w:p>
    <w:p w14:paraId="3B519963" w14:textId="24AEAD8D" w:rsidR="009840D5" w:rsidRDefault="009840D5" w:rsidP="0016675C">
      <w:pPr>
        <w:jc w:val="both"/>
      </w:pPr>
    </w:p>
    <w:p w14:paraId="5C44BE08" w14:textId="543B2181" w:rsidR="005C2C3D" w:rsidRDefault="005C2C3D" w:rsidP="0016675C">
      <w:pPr>
        <w:jc w:val="both"/>
      </w:pPr>
    </w:p>
    <w:p w14:paraId="7B814194" w14:textId="6244F110" w:rsidR="005C2C3D" w:rsidRDefault="005C2C3D" w:rsidP="0016675C">
      <w:pPr>
        <w:jc w:val="both"/>
      </w:pPr>
    </w:p>
    <w:p w14:paraId="09E0E42F" w14:textId="34B31288" w:rsidR="005C2C3D" w:rsidRDefault="005C2C3D" w:rsidP="0016675C">
      <w:pPr>
        <w:jc w:val="both"/>
      </w:pPr>
    </w:p>
    <w:p w14:paraId="54DABDE7" w14:textId="2C4299F6" w:rsidR="005C2C3D" w:rsidRDefault="005C2C3D" w:rsidP="0016675C">
      <w:pPr>
        <w:jc w:val="both"/>
      </w:pPr>
    </w:p>
    <w:p w14:paraId="12193DF9" w14:textId="77777777" w:rsidR="005C2C3D" w:rsidRDefault="005C2C3D" w:rsidP="0016675C">
      <w:pPr>
        <w:jc w:val="both"/>
      </w:pPr>
    </w:p>
    <w:p w14:paraId="1DA19B10" w14:textId="059549D6" w:rsidR="00DB7C27" w:rsidRDefault="00DB7C27" w:rsidP="00DB7C27">
      <w:pPr>
        <w:pStyle w:val="Nadpis1"/>
      </w:pPr>
      <w:bookmarkStart w:id="27" w:name="_Toc62576786"/>
      <w:r>
        <w:lastRenderedPageBreak/>
        <w:t>Záver</w:t>
      </w:r>
      <w:bookmarkEnd w:id="27"/>
    </w:p>
    <w:p w14:paraId="2CB243C6" w14:textId="523A7702" w:rsidR="0056100C" w:rsidRDefault="00823D71" w:rsidP="00EE2892">
      <w:pPr>
        <w:spacing w:line="276" w:lineRule="auto"/>
        <w:jc w:val="both"/>
      </w:pPr>
      <w:r>
        <w:t>Potenciál v obnove rodinných domov z hľadiska počtu neobnovených existujúcich rodinných domov</w:t>
      </w:r>
      <w:r w:rsidR="00D20BEA">
        <w:t>,</w:t>
      </w:r>
      <w:r>
        <w:t xml:space="preserve"> ako aj z hľadiska </w:t>
      </w:r>
      <w:r w:rsidR="00F10790">
        <w:t>záujmu zo strany vlastníkov</w:t>
      </w:r>
      <w:r w:rsidR="00D20BEA">
        <w:t>,</w:t>
      </w:r>
      <w:r w:rsidR="00F10790">
        <w:t xml:space="preserve"> možno považovať za veľký. Zahraničné skúsenosti z Nemecka či Českej republiky dokazujú, že efektívny dotačný program dokáže motivovať vlastníkov k rozhodnutiu pustiť sa do obnovy. Ako ukazujú skúsenosti z českého programu „Nová zelená úsporám“, motivačne nastavená podpora môže zase zvýšiť záujem o obnovu v ambicióznejšej úrovni. </w:t>
      </w:r>
    </w:p>
    <w:p w14:paraId="7FA36E96" w14:textId="11081C8A" w:rsidR="00865D3D" w:rsidRDefault="00F10790" w:rsidP="005C2C3D">
      <w:pPr>
        <w:spacing w:line="276" w:lineRule="auto"/>
        <w:jc w:val="both"/>
      </w:pPr>
      <w:r>
        <w:t xml:space="preserve">Výsledky štúdie ukazujú významné prínosy z hľadiska úspory energie a zníženia emisií. Pri danom nastavení podpory je možné rádovo podporiť približne </w:t>
      </w:r>
      <w:r w:rsidR="0086766F">
        <w:t>9000</w:t>
      </w:r>
      <w:r>
        <w:t xml:space="preserve"> rodinných domov z alokácie verejných zdrojov na úrovni 100 mil. eur. </w:t>
      </w:r>
      <w:r w:rsidR="00865D3D">
        <w:t>Celková ročná úspora sa pohybuje na úrovni 4</w:t>
      </w:r>
      <w:r w:rsidR="0086766F">
        <w:t>1</w:t>
      </w:r>
      <w:r w:rsidR="005C2C3D">
        <w:t>6</w:t>
      </w:r>
      <w:r w:rsidR="00865D3D">
        <w:t>,</w:t>
      </w:r>
      <w:r w:rsidR="005C2C3D">
        <w:t>27</w:t>
      </w:r>
      <w:r w:rsidR="00865D3D">
        <w:t xml:space="preserve"> GWh </w:t>
      </w:r>
      <w:r w:rsidR="005C2C3D">
        <w:t xml:space="preserve">alebo </w:t>
      </w:r>
      <w:r w:rsidR="00865D3D">
        <w:t xml:space="preserve"> 4</w:t>
      </w:r>
      <w:r w:rsidR="0086766F">
        <w:t>1</w:t>
      </w:r>
      <w:r w:rsidR="005C2C3D">
        <w:t>8</w:t>
      </w:r>
      <w:r w:rsidR="00865D3D">
        <w:t>,2</w:t>
      </w:r>
      <w:r w:rsidR="005C2C3D">
        <w:t>7</w:t>
      </w:r>
      <w:r w:rsidR="00865D3D">
        <w:t xml:space="preserve"> GWh</w:t>
      </w:r>
      <w:r w:rsidR="005C2C3D">
        <w:t xml:space="preserve"> v určitom scenári</w:t>
      </w:r>
      <w:r w:rsidR="00865D3D">
        <w:t>. Z výsledkov výpočtu je zrejmé, že am</w:t>
      </w:r>
      <w:r w:rsidR="005C2C3D">
        <w:t>bicióznejší</w:t>
      </w:r>
      <w:r w:rsidR="00865D3D">
        <w:t xml:space="preserve"> scenár</w:t>
      </w:r>
      <w:r w:rsidR="005C2C3D">
        <w:t xml:space="preserve"> dosahuje aj napriek nižšiemu počtu obnovených domov väčšiu úsporu energie pri rovnakej výške verejnej investície. Dôvodom je vyšší podiel rodinných domov obnovených do energeticky efektívnejších úrovní.</w:t>
      </w:r>
      <w:r w:rsidR="00865D3D">
        <w:t xml:space="preserve"> </w:t>
      </w:r>
    </w:p>
    <w:p w14:paraId="7194FDC3" w14:textId="17A5C29A" w:rsidR="00823D71" w:rsidRPr="009E28CF" w:rsidRDefault="00865D3D" w:rsidP="00EE2892">
      <w:pPr>
        <w:spacing w:line="276" w:lineRule="auto"/>
        <w:jc w:val="both"/>
      </w:pPr>
      <w:r>
        <w:t>Z hľadiska zníženia emisií CO</w:t>
      </w:r>
      <w:r>
        <w:rPr>
          <w:vertAlign w:val="subscript"/>
        </w:rPr>
        <w:t>2</w:t>
      </w:r>
      <w:r>
        <w:t xml:space="preserve"> </w:t>
      </w:r>
      <w:r w:rsidR="0086766F">
        <w:t xml:space="preserve">je </w:t>
      </w:r>
      <w:r w:rsidR="005C2C3D">
        <w:t>však výsledok opačný</w:t>
      </w:r>
      <w:r>
        <w:t>. Nižší počet obnovených domov, zapríčinený energeticky ambicióznejšou a finančne nákladnejšou obnovou, znižuje</w:t>
      </w:r>
      <w:r w:rsidR="0086766F">
        <w:t xml:space="preserve"> celkové zníženie emisií</w:t>
      </w:r>
      <w:r>
        <w:t xml:space="preserve">. Je však nutné zmieniť, že táto skutočnosť je zapríčinená emisnými faktormi energetických nosičov. </w:t>
      </w:r>
      <w:r w:rsidR="00202739">
        <w:t xml:space="preserve">Kotol na peletky </w:t>
      </w:r>
      <w:r>
        <w:t xml:space="preserve">má výrazne menší emisný faktor než tepelné čerpadlo. Je preto nutné brať výsledky zníženia emisií s vedomím, že oficiálne prepočítacie emisné faktory neodzrkadľujú </w:t>
      </w:r>
      <w:r w:rsidR="009E28CF">
        <w:t>v určitej miere realitu</w:t>
      </w:r>
      <w:r w:rsidR="0086766F">
        <w:t xml:space="preserve"> a je nutné zvážiť ich aktualizáciu</w:t>
      </w:r>
      <w:r w:rsidR="00202739">
        <w:t xml:space="preserve"> v príslušných predpisoch</w:t>
      </w:r>
      <w:r w:rsidR="009E28CF">
        <w:t xml:space="preserve">. Podľa výpočtov je možné znížiť ročné emisie o rádovo </w:t>
      </w:r>
      <w:r w:rsidR="00202739">
        <w:t>55</w:t>
      </w:r>
      <w:r w:rsidR="009E28CF">
        <w:t xml:space="preserve"> až 6</w:t>
      </w:r>
      <w:r w:rsidR="00202739">
        <w:t>0</w:t>
      </w:r>
      <w:r w:rsidR="009E28CF">
        <w:t xml:space="preserve"> tisíc ton CO</w:t>
      </w:r>
      <w:r w:rsidR="009E28CF">
        <w:rPr>
          <w:vertAlign w:val="subscript"/>
        </w:rPr>
        <w:t>2</w:t>
      </w:r>
      <w:r w:rsidR="009E28CF">
        <w:t>.</w:t>
      </w:r>
    </w:p>
    <w:p w14:paraId="2E1D4C0E" w14:textId="35D5DEC3" w:rsidR="00823D71" w:rsidRDefault="00823D71" w:rsidP="00EE2892">
      <w:pPr>
        <w:spacing w:line="276" w:lineRule="auto"/>
        <w:jc w:val="both"/>
      </w:pPr>
      <w:r>
        <w:t xml:space="preserve">Výpočet makroekonomických dopadov ukázal vysokú pridanú hodnotu verejných investícii do obnovy budov z hľadiska tvorby HDP, nových pracovných miest a prínosov do štátneho rozpočtu. Podľa viacerých </w:t>
      </w:r>
      <w:r w:rsidR="00647534">
        <w:t>publikácií</w:t>
      </w:r>
      <w:r>
        <w:t xml:space="preserve"> [</w:t>
      </w:r>
      <w:r w:rsidR="00647534">
        <w:t>13</w:t>
      </w:r>
      <w:r w:rsidR="006A575D">
        <w:t xml:space="preserve">, </w:t>
      </w:r>
      <w:r w:rsidR="00647534">
        <w:t>14</w:t>
      </w:r>
      <w:r w:rsidR="006A575D">
        <w:t xml:space="preserve">, </w:t>
      </w:r>
      <w:r w:rsidR="00647534">
        <w:t>15</w:t>
      </w:r>
      <w:r>
        <w:t xml:space="preserve">] sú práve investície do obnovy budov považované za jedny z najefektívnejších stimulov pre oživenie ekonomiky zasiahnutej krízou COVID-19. </w:t>
      </w:r>
      <w:r w:rsidR="009E28CF">
        <w:t xml:space="preserve">Pri verejnej investícii na úrovni 100 mil. eur je možné vygenerovať celkové investície na úrovni </w:t>
      </w:r>
      <w:r w:rsidR="0086766F">
        <w:t xml:space="preserve">okolo </w:t>
      </w:r>
      <w:r w:rsidR="009E28CF">
        <w:t>2</w:t>
      </w:r>
      <w:r w:rsidR="0086766F">
        <w:t>2</w:t>
      </w:r>
      <w:r w:rsidR="00202739">
        <w:t>5</w:t>
      </w:r>
      <w:r w:rsidR="009E28CF">
        <w:t xml:space="preserve"> mil. eur. Dopad týchto investícii na HDP je možné vyčísliť na </w:t>
      </w:r>
      <w:r w:rsidR="0086766F">
        <w:t xml:space="preserve">približne 290 </w:t>
      </w:r>
      <w:r w:rsidR="009E28CF">
        <w:t xml:space="preserve">mil. eur. Pomocou verejnej investície na úrovni 100 mil. eur je možné vytvoriť </w:t>
      </w:r>
      <w:r w:rsidR="0086766F">
        <w:t>okolo 6</w:t>
      </w:r>
      <w:r w:rsidR="00202739">
        <w:t>43</w:t>
      </w:r>
      <w:r w:rsidR="0086766F">
        <w:t xml:space="preserve">0 </w:t>
      </w:r>
      <w:r w:rsidR="009E28CF">
        <w:t xml:space="preserve">pracovných miest. Investície do obnovy budov predstavujú významné prínosy do štátneho rozpočtu. Podľa zvoleného výpočtu sa behom jedného roku vráti do verejného rozpočtu približne </w:t>
      </w:r>
      <w:r w:rsidR="0086766F">
        <w:t>7</w:t>
      </w:r>
      <w:r w:rsidR="009E28CF">
        <w:t xml:space="preserve">0 % verejnej investície, teda okolo </w:t>
      </w:r>
      <w:r w:rsidR="0086766F">
        <w:t>7</w:t>
      </w:r>
      <w:r w:rsidR="009E28CF">
        <w:t>0 mil. €.</w:t>
      </w:r>
    </w:p>
    <w:p w14:paraId="5DAFCBAE" w14:textId="3C25B425" w:rsidR="00DB7C27" w:rsidRDefault="00DB7C27" w:rsidP="009C24CB"/>
    <w:p w14:paraId="579BAE0F" w14:textId="2ED2F11F" w:rsidR="00DB7C27" w:rsidRDefault="00DB7C27" w:rsidP="009C24CB"/>
    <w:p w14:paraId="6D78F878" w14:textId="5C52B2FB" w:rsidR="00DB7C27" w:rsidRDefault="00DB7C27" w:rsidP="009C24CB"/>
    <w:p w14:paraId="6BA93B3F" w14:textId="148F37B0" w:rsidR="00DB7C27" w:rsidRDefault="00DB7C27" w:rsidP="009C24CB"/>
    <w:p w14:paraId="555821BE" w14:textId="786F27FB" w:rsidR="00DB7C27" w:rsidRDefault="00DB7C27" w:rsidP="009C24CB"/>
    <w:p w14:paraId="5B5DC670" w14:textId="49AEC227" w:rsidR="00DB7C27" w:rsidRDefault="00DB7C27" w:rsidP="009C24CB"/>
    <w:p w14:paraId="505B2D21" w14:textId="31755AAF" w:rsidR="00DB7C27" w:rsidRDefault="00DB7C27" w:rsidP="009C24CB"/>
    <w:p w14:paraId="7E24A8DD" w14:textId="4CED6949" w:rsidR="00DB7C27" w:rsidRDefault="00DB7C27" w:rsidP="009C24CB"/>
    <w:p w14:paraId="4AED028A" w14:textId="4CF1FC4E" w:rsidR="00DB7C27" w:rsidRDefault="00DB7C27" w:rsidP="009C24CB"/>
    <w:p w14:paraId="7A6926BB" w14:textId="0F88EF2A" w:rsidR="00DB7C27" w:rsidRDefault="00DB7C27" w:rsidP="009C24CB"/>
    <w:p w14:paraId="735B94D6" w14:textId="31EC6264" w:rsidR="00C226CA" w:rsidRPr="004E1ED8" w:rsidRDefault="00C226CA" w:rsidP="00C226CA">
      <w:pPr>
        <w:pStyle w:val="Nadpis1"/>
      </w:pPr>
      <w:bookmarkStart w:id="28" w:name="_Toc62576787"/>
      <w:r>
        <w:lastRenderedPageBreak/>
        <w:t>Zdroje</w:t>
      </w:r>
      <w:bookmarkEnd w:id="28"/>
    </w:p>
    <w:p w14:paraId="7697757B" w14:textId="77777777" w:rsidR="00647534" w:rsidRPr="001729B2" w:rsidRDefault="00647534" w:rsidP="00B42911">
      <w:bookmarkStart w:id="29" w:name="_Hlk61952685"/>
      <w:r>
        <w:t xml:space="preserve">[1] Ministerstvo životného prostredia SR, </w:t>
      </w:r>
      <w:r w:rsidRPr="001729B2">
        <w:rPr>
          <w:i/>
          <w:iCs/>
        </w:rPr>
        <w:t>„Nízkouhlíková stratégia rozvoja Slovenskej republiky do roku 2030 s výhľadom do roku 2050“</w:t>
      </w:r>
      <w:r>
        <w:t xml:space="preserve">, Február 2020, Dostupné na: </w:t>
      </w:r>
      <w:r w:rsidRPr="001729B2">
        <w:t>https://www.minzp.sk/files/oblasti/politika-zmeny-klimy/nus-sr-do-roku-2030-finalna-verzia.pdf</w:t>
      </w:r>
    </w:p>
    <w:p w14:paraId="2B82E1CD" w14:textId="77777777" w:rsidR="00647534" w:rsidRDefault="00647534" w:rsidP="00B42911">
      <w:pPr>
        <w:spacing w:after="120" w:line="276" w:lineRule="auto"/>
        <w:rPr>
          <w:rFonts w:cstheme="minorHAnsi"/>
        </w:rPr>
      </w:pPr>
      <w:r>
        <w:rPr>
          <w:rFonts w:cstheme="minorHAnsi"/>
        </w:rPr>
        <w:t xml:space="preserve">[2] </w:t>
      </w:r>
      <w:r w:rsidRPr="00C04667">
        <w:rPr>
          <w:rFonts w:cstheme="minorHAnsi"/>
        </w:rPr>
        <w:t xml:space="preserve">Ministerstvo dopravy a výstavby SR, </w:t>
      </w:r>
      <w:r w:rsidRPr="001729B2">
        <w:rPr>
          <w:rFonts w:cstheme="minorHAnsi"/>
          <w:i/>
          <w:iCs/>
        </w:rPr>
        <w:t>„Aktualizácia Stratégie obnovy fondu bytových a nebytových budov v Slovenskej republike“</w:t>
      </w:r>
      <w:r w:rsidRPr="00C04667">
        <w:rPr>
          <w:rFonts w:cstheme="minorHAnsi"/>
        </w:rPr>
        <w:t xml:space="preserve">, Apríl 2017, Dostupné na: </w:t>
      </w:r>
      <w:hyperlink r:id="rId15" w:history="1">
        <w:r w:rsidRPr="006D6EDE">
          <w:rPr>
            <w:rStyle w:val="Hypertextovodkaz"/>
            <w:rFonts w:cstheme="minorHAnsi"/>
          </w:rPr>
          <w:t>https://www.mindop.sk/ministerstvo-1/vystavba-5/stavebnictvo/dokumenty-a-materialy/aktualizacia-strategie-obnovy-fondu-bytovych-a-nebytovych-budov-v-slovenskej-republike-zip-2-6mb</w:t>
        </w:r>
      </w:hyperlink>
    </w:p>
    <w:p w14:paraId="571D4186" w14:textId="77777777" w:rsidR="00647534" w:rsidRDefault="00647534" w:rsidP="00B42911">
      <w:pPr>
        <w:spacing w:after="120" w:line="276" w:lineRule="auto"/>
        <w:rPr>
          <w:rFonts w:cstheme="minorHAnsi"/>
        </w:rPr>
      </w:pPr>
      <w:r>
        <w:rPr>
          <w:rFonts w:cstheme="minorHAnsi"/>
        </w:rPr>
        <w:t xml:space="preserve">[3] Iniciatíva Európskej komisie „Renovation Wave“, informácie dostupné na: </w:t>
      </w:r>
      <w:r>
        <w:t xml:space="preserve">Renovation Wave </w:t>
      </w:r>
      <w:r w:rsidRPr="00207C11">
        <w:t>https://ec.europa.eu/energy/topics/energy-efficiency/energy-efficient-buildings/renovation-wave_en</w:t>
      </w:r>
    </w:p>
    <w:p w14:paraId="18679988" w14:textId="77777777" w:rsidR="00647534" w:rsidRPr="001729B2" w:rsidRDefault="00647534" w:rsidP="00B42911">
      <w:pPr>
        <w:spacing w:after="120" w:line="276" w:lineRule="auto"/>
        <w:rPr>
          <w:rFonts w:cstheme="minorHAnsi"/>
        </w:rPr>
      </w:pPr>
      <w:r>
        <w:rPr>
          <w:rFonts w:cstheme="minorHAnsi"/>
        </w:rPr>
        <w:t xml:space="preserve">[4] Ministerstvo </w:t>
      </w:r>
      <w:r>
        <w:t>průmyslu a obchodu ČR, „</w:t>
      </w:r>
      <w:r w:rsidRPr="001729B2">
        <w:rPr>
          <w:i/>
          <w:iCs/>
        </w:rPr>
        <w:t>Dlouhodobá strategie renovací na podporu renovace vnitrostátního fondu obytných a jiných než obytných budov, veřejných i</w:t>
      </w:r>
      <w:r>
        <w:rPr>
          <w:i/>
          <w:iCs/>
        </w:rPr>
        <w:t> </w:t>
      </w:r>
      <w:r w:rsidRPr="001729B2">
        <w:rPr>
          <w:i/>
          <w:iCs/>
        </w:rPr>
        <w:t>soukromých</w:t>
      </w:r>
      <w:r>
        <w:rPr>
          <w:i/>
          <w:iCs/>
        </w:rPr>
        <w:t>“</w:t>
      </w:r>
      <w:r>
        <w:t xml:space="preserve">, dostupné na: </w:t>
      </w:r>
      <w:r w:rsidRPr="00F64DBF">
        <w:t>https://ec.europa.eu/energy/sites/ener/files/documents/cz_2020_ltrs.pdf</w:t>
      </w:r>
      <w:r>
        <w:t xml:space="preserve"> </w:t>
      </w:r>
    </w:p>
    <w:p w14:paraId="5979C6CE" w14:textId="77777777" w:rsidR="00647534" w:rsidRDefault="00647534" w:rsidP="00B42911">
      <w:r>
        <w:rPr>
          <w:rFonts w:cstheme="minorHAnsi"/>
        </w:rPr>
        <w:t>[5]</w:t>
      </w:r>
      <w:r w:rsidRPr="001729B2">
        <w:t xml:space="preserve"> </w:t>
      </w:r>
      <w:r>
        <w:t xml:space="preserve">EUROSTAT, </w:t>
      </w:r>
      <w:r w:rsidRPr="001729B2">
        <w:rPr>
          <w:i/>
          <w:iCs/>
        </w:rPr>
        <w:t>„Distribution of population by degree of urbanisation, dwelling type and income group - EU-SILC survey“</w:t>
      </w:r>
      <w:r>
        <w:t>, dostupné na:</w:t>
      </w:r>
      <w:r w:rsidRPr="000E50D5">
        <w:t xml:space="preserve"> https://appsso.eurostat.ec.europa.eu/nui/submitViewTableAction.do</w:t>
      </w:r>
    </w:p>
    <w:p w14:paraId="2FCCA2DB" w14:textId="77777777" w:rsidR="00647534" w:rsidRDefault="00647534" w:rsidP="00B42911">
      <w:pPr>
        <w:spacing w:after="120" w:line="276" w:lineRule="auto"/>
      </w:pPr>
      <w:r>
        <w:rPr>
          <w:rFonts w:cstheme="minorHAnsi"/>
        </w:rPr>
        <w:t xml:space="preserve">[6] Ministerstvo dopravy a výstavby SR, </w:t>
      </w:r>
      <w:r w:rsidRPr="001729B2">
        <w:rPr>
          <w:rFonts w:cstheme="minorHAnsi"/>
          <w:i/>
          <w:iCs/>
        </w:rPr>
        <w:t>„</w:t>
      </w:r>
      <w:r w:rsidRPr="001729B2">
        <w:rPr>
          <w:i/>
          <w:iCs/>
        </w:rPr>
        <w:t>Návrh Dlhodobej stratégie obnovy budov SR“</w:t>
      </w:r>
      <w:r w:rsidRPr="001729B2">
        <w:t>,</w:t>
      </w:r>
      <w:r w:rsidRPr="001729B2">
        <w:rPr>
          <w:i/>
          <w:iCs/>
        </w:rPr>
        <w:t xml:space="preserve"> </w:t>
      </w:r>
      <w:r>
        <w:t xml:space="preserve">dostupné na: </w:t>
      </w:r>
      <w:hyperlink r:id="rId16" w:history="1">
        <w:r w:rsidRPr="00E975F7">
          <w:rPr>
            <w:rStyle w:val="Hypertextovodkaz"/>
          </w:rPr>
          <w:t>https://rokovania.gov.sk/RVL/Material/25606/1</w:t>
        </w:r>
      </w:hyperlink>
    </w:p>
    <w:p w14:paraId="5890731D" w14:textId="77777777" w:rsidR="00647534" w:rsidRDefault="00647534" w:rsidP="00B42911">
      <w:pPr>
        <w:spacing w:after="120" w:line="276" w:lineRule="auto"/>
      </w:pPr>
      <w:r>
        <w:t xml:space="preserve">[7] </w:t>
      </w:r>
      <w:r w:rsidRPr="00806518">
        <w:t>Ing. Jana Bendžalová, PhD</w:t>
      </w:r>
      <w:r>
        <w:t>,</w:t>
      </w:r>
      <w:r w:rsidRPr="00806518">
        <w:t xml:space="preserve"> Ing. Daniela Muškátová, </w:t>
      </w:r>
      <w:r>
        <w:t>„</w:t>
      </w:r>
      <w:r w:rsidRPr="00806518">
        <w:rPr>
          <w:i/>
          <w:iCs/>
        </w:rPr>
        <w:t>Metodika na stanovenie potreby energie a potenciálu energetických úspor v sektore budov</w:t>
      </w:r>
      <w:r>
        <w:rPr>
          <w:i/>
          <w:iCs/>
        </w:rPr>
        <w:t>“</w:t>
      </w:r>
      <w:r>
        <w:t xml:space="preserve">, 2020, vypracované pre: </w:t>
      </w:r>
      <w:r w:rsidRPr="00806518">
        <w:t>Priatelia Zeme-CEPA</w:t>
      </w:r>
      <w:r>
        <w:t xml:space="preserve">, dostupné na: </w:t>
      </w:r>
      <w:hyperlink r:id="rId17" w:history="1">
        <w:r w:rsidRPr="00E975F7">
          <w:rPr>
            <w:rStyle w:val="Hypertextovodkaz"/>
          </w:rPr>
          <w:t>https://cepa.priateliazeme.sk/images/publikacie/EVS_vystupy/Metodika_budovy_web.pdf</w:t>
        </w:r>
      </w:hyperlink>
    </w:p>
    <w:p w14:paraId="389D0B48" w14:textId="77777777" w:rsidR="00647534" w:rsidRDefault="00647534" w:rsidP="00B42911">
      <w:r>
        <w:t xml:space="preserve">[8] </w:t>
      </w:r>
      <w:r w:rsidRPr="00C009F9">
        <w:t xml:space="preserve">Ministerstva dopravy, výstavby a regionálneho rozvoja </w:t>
      </w:r>
      <w:r>
        <w:t>SR, „</w:t>
      </w:r>
      <w:r w:rsidRPr="009E1425">
        <w:rPr>
          <w:i/>
          <w:iCs/>
        </w:rPr>
        <w:t>Prílohy č. 2 vyhlášky č. 364/2012 Z. z.  ktorou sa vykonáva zákon č. 555/2005 Z. z. o energetickej hospodárnosti budov</w:t>
      </w:r>
      <w:r>
        <w:rPr>
          <w:i/>
          <w:iCs/>
        </w:rPr>
        <w:t>“</w:t>
      </w:r>
      <w:r>
        <w:t xml:space="preserve">. Dostupné na: </w:t>
      </w:r>
      <w:r w:rsidRPr="00C009F9">
        <w:t>https://www.slov-lex.sk/pravne-predpisy/prilohy/SK/ZZ/2012/364/20200310_4720140-2.pdf</w:t>
      </w:r>
    </w:p>
    <w:p w14:paraId="7BC6AAA2" w14:textId="77777777" w:rsidR="00647534" w:rsidRDefault="00647534" w:rsidP="00B42911">
      <w:pPr>
        <w:pStyle w:val="Default"/>
        <w:spacing w:after="120" w:line="276" w:lineRule="auto"/>
        <w:rPr>
          <w:sz w:val="22"/>
          <w:szCs w:val="22"/>
        </w:rPr>
      </w:pPr>
      <w:r>
        <w:t xml:space="preserve">[9] </w:t>
      </w:r>
      <w:r w:rsidRPr="009E1425">
        <w:rPr>
          <w:sz w:val="22"/>
          <w:szCs w:val="22"/>
        </w:rPr>
        <w:t xml:space="preserve">Technický a skúšobný ústav stavebný, </w:t>
      </w:r>
      <w:r>
        <w:t>„</w:t>
      </w:r>
      <w:r w:rsidRPr="009E1425">
        <w:rPr>
          <w:i/>
          <w:iCs/>
          <w:sz w:val="22"/>
          <w:szCs w:val="22"/>
        </w:rPr>
        <w:t>Návrh metodiky a vstupných údajov stanovenia nákladovej efektívnosti výstavby a obnovy budov z hľadiska energetickej hospodárnosti budov</w:t>
      </w:r>
      <w:r>
        <w:rPr>
          <w:i/>
          <w:iCs/>
          <w:sz w:val="22"/>
          <w:szCs w:val="22"/>
        </w:rPr>
        <w:t>.</w:t>
      </w:r>
      <w:r w:rsidRPr="009E1425">
        <w:rPr>
          <w:i/>
          <w:iCs/>
          <w:sz w:val="22"/>
          <w:szCs w:val="22"/>
        </w:rPr>
        <w:t xml:space="preserve"> Stanovenie vstupných údajov o stavebných výrobkoch a o technických systémoch na určovanie opatrení ovplyvňujúcich energetickú hospodárnosť budov v rôznych úrovniach požiadaviek na energetickú hospodárnosť budov</w:t>
      </w:r>
      <w:r>
        <w:rPr>
          <w:i/>
          <w:iCs/>
          <w:sz w:val="22"/>
          <w:szCs w:val="22"/>
        </w:rPr>
        <w:t>“</w:t>
      </w:r>
      <w:r w:rsidRPr="009E1425">
        <w:rPr>
          <w:sz w:val="22"/>
          <w:szCs w:val="22"/>
        </w:rPr>
        <w:t>, Máj 2015</w:t>
      </w:r>
      <w:r>
        <w:rPr>
          <w:sz w:val="22"/>
          <w:szCs w:val="22"/>
        </w:rPr>
        <w:t xml:space="preserve">, dostupné na: </w:t>
      </w:r>
      <w:hyperlink r:id="rId18" w:history="1">
        <w:r w:rsidRPr="00E975F7">
          <w:rPr>
            <w:rStyle w:val="Hypertextovodkaz"/>
            <w:sz w:val="22"/>
            <w:szCs w:val="22"/>
          </w:rPr>
          <w:t>https://www.tsus.sk/o_tsus/publikacie/metodika_2015_tsus.pdf</w:t>
        </w:r>
      </w:hyperlink>
    </w:p>
    <w:p w14:paraId="0F8D151F" w14:textId="77777777" w:rsidR="00647534" w:rsidRPr="00066CCF" w:rsidRDefault="00647534" w:rsidP="00B42911">
      <w:pPr>
        <w:rPr>
          <w:b/>
          <w:sz w:val="36"/>
          <w:szCs w:val="36"/>
        </w:rPr>
      </w:pPr>
      <w:r>
        <w:t xml:space="preserve">[10]  </w:t>
      </w:r>
      <w:r w:rsidRPr="009E1425">
        <w:rPr>
          <w:iCs/>
        </w:rPr>
        <w:t>Ing. Július Golej, PhD., Ing. Miroslav Pánik, PhD</w:t>
      </w:r>
      <w:r>
        <w:t xml:space="preserve"> „</w:t>
      </w:r>
      <w:r w:rsidRPr="009E1425">
        <w:rPr>
          <w:i/>
          <w:iCs/>
        </w:rPr>
        <w:t>Makroekonomické dopady investícií do hĺbkovej obnovy budov na Slovensku“</w:t>
      </w:r>
      <w:r>
        <w:t xml:space="preserve">, </w:t>
      </w:r>
      <w:r>
        <w:rPr>
          <w:rFonts w:cstheme="minorHAnsi"/>
        </w:rPr>
        <w:t>2016, vypracované pre: SKGBC</w:t>
      </w:r>
    </w:p>
    <w:p w14:paraId="326FFAF0" w14:textId="77777777" w:rsidR="00647534" w:rsidRDefault="00647534" w:rsidP="00B42911">
      <w:r>
        <w:t>!11</w:t>
      </w:r>
      <w:r w:rsidRPr="00DB7C27">
        <w:t>] E</w:t>
      </w:r>
      <w:r>
        <w:t xml:space="preserve">UROSTAT, </w:t>
      </w:r>
      <w:r w:rsidRPr="007846A7">
        <w:rPr>
          <w:i/>
          <w:iCs/>
        </w:rPr>
        <w:t>„Construction of buildings statistics“</w:t>
      </w:r>
      <w:r>
        <w:t xml:space="preserve"> dostupné na: </w:t>
      </w:r>
      <w:r w:rsidRPr="00DB7C27">
        <w:t>https://ec.europa.eu/eurostat/statistics-explained/index.php/Construction_of_buildings_statistics_-_NACE_Rev._2#Structural_profile</w:t>
      </w:r>
    </w:p>
    <w:p w14:paraId="0CFA9744" w14:textId="77777777" w:rsidR="00647534" w:rsidRPr="00D77A03" w:rsidRDefault="00647534" w:rsidP="00B42911">
      <w:r>
        <w:t xml:space="preserve">[12] </w:t>
      </w:r>
      <w:r>
        <w:rPr>
          <w:rFonts w:cstheme="minorHAnsi"/>
        </w:rPr>
        <w:t>Ministerstvo dopravy a výstavby SR</w:t>
      </w:r>
      <w:r>
        <w:t xml:space="preserve">, </w:t>
      </w:r>
      <w:r w:rsidRPr="007846A7">
        <w:rPr>
          <w:i/>
          <w:iCs/>
        </w:rPr>
        <w:t>„Ročenka stavebníctva 2019</w:t>
      </w:r>
      <w:r>
        <w:t xml:space="preserve">“, dostupné na: </w:t>
      </w:r>
      <w:r w:rsidRPr="0016675C">
        <w:t>https://www.mindop.sk/ministerstvo-1/vystavba-5/stavebnictvo/dokumenty-a-materialy/rocenky-stavebnictva/rocenky-stavebnictva-2019</w:t>
      </w:r>
    </w:p>
    <w:p w14:paraId="0489C986" w14:textId="77777777" w:rsidR="00647534" w:rsidRPr="009E1425" w:rsidRDefault="00647534" w:rsidP="00B42911">
      <w:r w:rsidRPr="00D77A03">
        <w:lastRenderedPageBreak/>
        <w:t xml:space="preserve">[13] </w:t>
      </w:r>
      <w:r>
        <w:t>International Energy Agency, „</w:t>
      </w:r>
      <w:r w:rsidRPr="00D77A03">
        <w:t>Sustainable Recovery</w:t>
      </w:r>
      <w:r>
        <w:t xml:space="preserve">“, Jún 2020, dostupné na: </w:t>
      </w:r>
      <w:r w:rsidRPr="00D77A03">
        <w:t>https://www.iea.org/reports/sustainable-recovery/evaluation-of-possible-recovery-measures#abstract</w:t>
      </w:r>
    </w:p>
    <w:p w14:paraId="3504C789" w14:textId="77777777" w:rsidR="00647534" w:rsidRDefault="00647534" w:rsidP="00B42911">
      <w:pPr>
        <w:spacing w:after="120" w:line="276" w:lineRule="auto"/>
      </w:pPr>
      <w:r>
        <w:t>[14] Cameron Hepburn, Brian O’Callaghan, Nicholas Stern, Joseph Stiglitz and Dimitri Zenghelis,</w:t>
      </w:r>
      <w:r w:rsidRPr="00D77A03">
        <w:rPr>
          <w:i/>
          <w:iCs/>
        </w:rPr>
        <w:t xml:space="preserve"> „Will COVID-19 fiscal recovery packages accelerate or retard progress on climate change?“</w:t>
      </w:r>
      <w:r>
        <w:rPr>
          <w:i/>
          <w:iCs/>
        </w:rPr>
        <w:t xml:space="preserve">, </w:t>
      </w:r>
      <w:r w:rsidRPr="00D77A03">
        <w:t>Máj 2020,</w:t>
      </w:r>
      <w:r w:rsidRPr="00D77A03">
        <w:rPr>
          <w:i/>
          <w:iCs/>
        </w:rPr>
        <w:t xml:space="preserve"> </w:t>
      </w:r>
      <w:r>
        <w:t xml:space="preserve">dostupné na: </w:t>
      </w:r>
      <w:r w:rsidRPr="00D77A03">
        <w:t>https://www.smithschool.ox.ac.uk/publications/wpapers/workingpaper20-02.pdf</w:t>
      </w:r>
    </w:p>
    <w:p w14:paraId="1367B2E8" w14:textId="77777777" w:rsidR="00647534" w:rsidRPr="00D77A03" w:rsidRDefault="00647534" w:rsidP="00B42911">
      <w:r w:rsidRPr="00D77A03">
        <w:t xml:space="preserve">[15] McKinsey &amp; Company, </w:t>
      </w:r>
      <w:r w:rsidRPr="00D77A03">
        <w:rPr>
          <w:i/>
          <w:iCs/>
        </w:rPr>
        <w:t>„How a post-pandemic stimulus can both create jobs and help the climate“,</w:t>
      </w:r>
      <w:r>
        <w:t xml:space="preserve"> Máj 2020,</w:t>
      </w:r>
      <w:r w:rsidRPr="00D77A03">
        <w:t xml:space="preserve"> dostupné na: https://www.mckinsey.com/business-functions/sustainability/our-insights/how-a-post-pandemic-stimulus-can-both-create-jobs-and-help-the-climate</w:t>
      </w:r>
    </w:p>
    <w:p w14:paraId="0C47237C" w14:textId="77777777" w:rsidR="00647534" w:rsidRDefault="00647534" w:rsidP="00647534">
      <w:pPr>
        <w:spacing w:after="120" w:line="276" w:lineRule="auto"/>
        <w:rPr>
          <w:rFonts w:cstheme="minorHAnsi"/>
        </w:rPr>
      </w:pPr>
    </w:p>
    <w:p w14:paraId="5807FE5E" w14:textId="04FDB792" w:rsidR="00961159" w:rsidRDefault="00961159" w:rsidP="00647534">
      <w:pPr>
        <w:pStyle w:val="Nadpis1"/>
        <w:ind w:left="0" w:firstLine="0"/>
      </w:pPr>
      <w:bookmarkStart w:id="30" w:name="_Toc62576788"/>
      <w:bookmarkEnd w:id="29"/>
      <w:r>
        <w:t>Prílohy</w:t>
      </w:r>
      <w:bookmarkEnd w:id="30"/>
    </w:p>
    <w:p w14:paraId="3B2B2468" w14:textId="267D21A0" w:rsidR="002B55EE" w:rsidRDefault="002B55EE" w:rsidP="002B55EE">
      <w:r w:rsidRPr="002B55EE">
        <w:t>Príloha č. 1: Výpočtový model</w:t>
      </w:r>
      <w:r w:rsidR="00B04F5F">
        <w:t xml:space="preserve"> (excel)</w:t>
      </w:r>
    </w:p>
    <w:p w14:paraId="2305CD83" w14:textId="68CF9FA7" w:rsidR="0086490C" w:rsidRPr="002B55EE" w:rsidRDefault="0086490C" w:rsidP="002B55EE"/>
    <w:sectPr w:rsidR="0086490C" w:rsidRPr="002B55EE" w:rsidSect="00EC09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7D8E9" w14:textId="77777777" w:rsidR="00627C69" w:rsidRDefault="00627C69" w:rsidP="00334977">
      <w:pPr>
        <w:spacing w:after="0" w:line="240" w:lineRule="auto"/>
      </w:pPr>
      <w:r>
        <w:separator/>
      </w:r>
    </w:p>
  </w:endnote>
  <w:endnote w:type="continuationSeparator" w:id="0">
    <w:p w14:paraId="4164A09D" w14:textId="77777777" w:rsidR="00627C69" w:rsidRDefault="00627C69" w:rsidP="00334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 Itc T OT Dem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Franklin Got Itc T OT Boo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 Itc T OT Heavy">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2560" w14:textId="77777777" w:rsidR="00627C69" w:rsidRDefault="00627C69" w:rsidP="00334977">
      <w:pPr>
        <w:spacing w:after="0" w:line="240" w:lineRule="auto"/>
      </w:pPr>
      <w:r>
        <w:separator/>
      </w:r>
    </w:p>
  </w:footnote>
  <w:footnote w:type="continuationSeparator" w:id="0">
    <w:p w14:paraId="41993F81" w14:textId="77777777" w:rsidR="00627C69" w:rsidRDefault="00627C69" w:rsidP="00334977">
      <w:pPr>
        <w:spacing w:after="0" w:line="240" w:lineRule="auto"/>
      </w:pPr>
      <w:r>
        <w:continuationSeparator/>
      </w:r>
    </w:p>
  </w:footnote>
  <w:footnote w:id="1">
    <w:p w14:paraId="18375C04" w14:textId="4EEC24BF" w:rsidR="005C2C3D" w:rsidRPr="00B22220" w:rsidRDefault="005C2C3D" w:rsidP="00B22220">
      <w:pPr>
        <w:spacing w:before="120" w:after="120"/>
        <w:jc w:val="both"/>
        <w:rPr>
          <w:sz w:val="18"/>
          <w:szCs w:val="18"/>
        </w:rPr>
      </w:pPr>
      <w:r w:rsidRPr="00B22220">
        <w:rPr>
          <w:rStyle w:val="Znakapoznpodarou"/>
          <w:sz w:val="18"/>
          <w:szCs w:val="18"/>
        </w:rPr>
        <w:footnoteRef/>
      </w:r>
      <w:r w:rsidRPr="00B22220">
        <w:rPr>
          <w:sz w:val="18"/>
          <w:szCs w:val="18"/>
        </w:rPr>
        <w:t xml:space="preserve"> Pre účely tejto </w:t>
      </w:r>
      <w:r>
        <w:rPr>
          <w:sz w:val="18"/>
          <w:szCs w:val="18"/>
        </w:rPr>
        <w:t>kapitoly</w:t>
      </w:r>
      <w:r w:rsidRPr="00B22220">
        <w:rPr>
          <w:sz w:val="18"/>
          <w:szCs w:val="18"/>
        </w:rPr>
        <w:t xml:space="preserve"> boli použité vstupné výpočtové údaje a metodické postupy podľa publikácie „</w:t>
      </w:r>
      <w:r w:rsidRPr="00B22220">
        <w:rPr>
          <w:i/>
          <w:iCs/>
          <w:sz w:val="18"/>
          <w:szCs w:val="18"/>
        </w:rPr>
        <w:t xml:space="preserve">Metodika na stanovenie potreby energie a potenciálu energetických úspor v sektore budov“ </w:t>
      </w:r>
      <w:r w:rsidRPr="00B22220">
        <w:rPr>
          <w:sz w:val="18"/>
          <w:szCs w:val="18"/>
        </w:rPr>
        <w:t>[</w:t>
      </w:r>
      <w:r>
        <w:rPr>
          <w:sz w:val="18"/>
          <w:szCs w:val="18"/>
        </w:rPr>
        <w:t>7</w:t>
      </w:r>
      <w:r w:rsidRPr="00B22220">
        <w:rPr>
          <w:sz w:val="18"/>
          <w:szCs w:val="18"/>
        </w:rPr>
        <w:t>]</w:t>
      </w:r>
    </w:p>
    <w:p w14:paraId="4B07E1CA" w14:textId="1ED1C991" w:rsidR="005C2C3D" w:rsidRDefault="005C2C3D">
      <w:pPr>
        <w:pStyle w:val="Textpoznpodarou"/>
      </w:pPr>
    </w:p>
  </w:footnote>
  <w:footnote w:id="2">
    <w:p w14:paraId="56C4821E" w14:textId="77777777" w:rsidR="005C2C3D" w:rsidRDefault="005C2C3D" w:rsidP="00445849">
      <w:pPr>
        <w:pStyle w:val="Textpoznpodarou"/>
      </w:pPr>
      <w:r>
        <w:rPr>
          <w:rStyle w:val="Znakapoznpodarou"/>
        </w:rPr>
        <w:footnoteRef/>
      </w:r>
      <w:r>
        <w:t xml:space="preserve"> </w:t>
      </w:r>
      <w:r w:rsidRPr="00075E0F">
        <w:rPr>
          <w:sz w:val="18"/>
          <w:szCs w:val="18"/>
        </w:rPr>
        <w:t xml:space="preserve">Pre účely tejto štúdie boli dodatočne </w:t>
      </w:r>
      <w:r>
        <w:rPr>
          <w:sz w:val="18"/>
          <w:szCs w:val="18"/>
        </w:rPr>
        <w:t>vypracované</w:t>
      </w:r>
      <w:r w:rsidRPr="00075E0F">
        <w:rPr>
          <w:sz w:val="18"/>
          <w:szCs w:val="18"/>
        </w:rPr>
        <w:t xml:space="preserve"> hodnoty potreby energie na vykurovanie pre vybrané druhy </w:t>
      </w:r>
      <w:r>
        <w:rPr>
          <w:sz w:val="18"/>
          <w:szCs w:val="18"/>
        </w:rPr>
        <w:t>r</w:t>
      </w:r>
      <w:r w:rsidRPr="00075E0F">
        <w:rPr>
          <w:sz w:val="18"/>
          <w:szCs w:val="18"/>
        </w:rPr>
        <w:t>eferenčných budov pre normalizovaný počet dennostupňov (vypracovala a poskytla Ing. Jana Bendžalová, PhD.</w:t>
      </w:r>
      <w:r>
        <w:rPr>
          <w:sz w:val="18"/>
          <w:szCs w:val="18"/>
        </w:rPr>
        <w:t>)</w:t>
      </w:r>
    </w:p>
  </w:footnote>
  <w:footnote w:id="3">
    <w:p w14:paraId="33602085" w14:textId="13E5086B" w:rsidR="005C2C3D" w:rsidRPr="00B22220" w:rsidRDefault="005C2C3D" w:rsidP="00B22220">
      <w:pPr>
        <w:spacing w:before="120" w:after="120"/>
        <w:jc w:val="both"/>
        <w:rPr>
          <w:sz w:val="18"/>
          <w:szCs w:val="18"/>
        </w:rPr>
      </w:pPr>
      <w:r>
        <w:rPr>
          <w:rStyle w:val="Znakapoznpodarou"/>
        </w:rPr>
        <w:footnoteRef/>
      </w:r>
      <w:r w:rsidRPr="00B22220">
        <w:rPr>
          <w:sz w:val="18"/>
          <w:szCs w:val="18"/>
        </w:rPr>
        <w:t xml:space="preserve">Pre účely tejto </w:t>
      </w:r>
      <w:r>
        <w:rPr>
          <w:sz w:val="18"/>
          <w:szCs w:val="18"/>
        </w:rPr>
        <w:t>kapitoly</w:t>
      </w:r>
      <w:r w:rsidRPr="00B22220">
        <w:rPr>
          <w:sz w:val="18"/>
          <w:szCs w:val="18"/>
        </w:rPr>
        <w:t xml:space="preserve"> boli použité vstupné výpočtové údaje a metodické postupy podľa publikácie „</w:t>
      </w:r>
      <w:r w:rsidRPr="00B22220">
        <w:rPr>
          <w:i/>
          <w:iCs/>
          <w:sz w:val="18"/>
          <w:szCs w:val="18"/>
        </w:rPr>
        <w:t xml:space="preserve">Metodika na stanovenie potreby energie a potenciálu energetických úspor v sektore budov“ </w:t>
      </w:r>
      <w:r w:rsidRPr="00B22220">
        <w:rPr>
          <w:sz w:val="18"/>
          <w:szCs w:val="18"/>
        </w:rPr>
        <w:t>[2]</w:t>
      </w:r>
    </w:p>
    <w:p w14:paraId="0A287D8F" w14:textId="09CC520E" w:rsidR="005C2C3D" w:rsidRDefault="005C2C3D">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0EB9"/>
    <w:multiLevelType w:val="hybridMultilevel"/>
    <w:tmpl w:val="0BD40F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BE2531"/>
    <w:multiLevelType w:val="hybridMultilevel"/>
    <w:tmpl w:val="68F87CF0"/>
    <w:lvl w:ilvl="0" w:tplc="F514C61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0BFD213B"/>
    <w:multiLevelType w:val="hybridMultilevel"/>
    <w:tmpl w:val="C3A8A4B2"/>
    <w:lvl w:ilvl="0" w:tplc="0E8C6358">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D65"/>
    <w:multiLevelType w:val="hybridMultilevel"/>
    <w:tmpl w:val="F650176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136424F6"/>
    <w:multiLevelType w:val="hybridMultilevel"/>
    <w:tmpl w:val="9F82CF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A83461"/>
    <w:multiLevelType w:val="hybridMultilevel"/>
    <w:tmpl w:val="752EDF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F053FC4"/>
    <w:multiLevelType w:val="hybridMultilevel"/>
    <w:tmpl w:val="F0CC4B0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4DE0ED9"/>
    <w:multiLevelType w:val="hybridMultilevel"/>
    <w:tmpl w:val="2824319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2D8A3E20"/>
    <w:multiLevelType w:val="hybridMultilevel"/>
    <w:tmpl w:val="3C0ACF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A834D1"/>
    <w:multiLevelType w:val="hybridMultilevel"/>
    <w:tmpl w:val="3C0ACF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252AF2"/>
    <w:multiLevelType w:val="hybridMultilevel"/>
    <w:tmpl w:val="99F001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4F3E16"/>
    <w:multiLevelType w:val="hybridMultilevel"/>
    <w:tmpl w:val="132036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7987199"/>
    <w:multiLevelType w:val="hybridMultilevel"/>
    <w:tmpl w:val="9DB0DF08"/>
    <w:lvl w:ilvl="0" w:tplc="9C5C1C06">
      <w:start w:val="1"/>
      <w:numFmt w:val="decimal"/>
      <w:pStyle w:val="Nadpis2"/>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7D40DC"/>
    <w:multiLevelType w:val="hybridMultilevel"/>
    <w:tmpl w:val="4F480476"/>
    <w:lvl w:ilvl="0" w:tplc="9F82F02C">
      <w:start w:val="1"/>
      <w:numFmt w:val="decimal"/>
      <w:pStyle w:val="Nadpis3"/>
      <w:lvlText w:val="%1.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FB717D"/>
    <w:multiLevelType w:val="hybridMultilevel"/>
    <w:tmpl w:val="E8EEB45C"/>
    <w:lvl w:ilvl="0" w:tplc="77A46D96">
      <w:start w:val="1"/>
      <w:numFmt w:val="decimal"/>
      <w:lvlText w:val="%1."/>
      <w:lvlJc w:val="left"/>
      <w:pPr>
        <w:ind w:left="720" w:hanging="360"/>
      </w:pPr>
      <w:rPr>
        <w:rFonts w:asciiTheme="minorHAnsi" w:hAnsiTheme="minorHAnsi" w:cstheme="minorHAnsi" w:hint="default"/>
        <w:b w:val="0"/>
        <w:b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00A0904"/>
    <w:multiLevelType w:val="hybridMultilevel"/>
    <w:tmpl w:val="3CCCB49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9B7489F"/>
    <w:multiLevelType w:val="hybridMultilevel"/>
    <w:tmpl w:val="6930BF5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7" w15:restartNumberingAfterBreak="0">
    <w:nsid w:val="4CD714A1"/>
    <w:multiLevelType w:val="multilevel"/>
    <w:tmpl w:val="AD1A2F30"/>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8C239B"/>
    <w:multiLevelType w:val="hybridMultilevel"/>
    <w:tmpl w:val="4A0631E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9" w15:restartNumberingAfterBreak="0">
    <w:nsid w:val="52E84257"/>
    <w:multiLevelType w:val="hybridMultilevel"/>
    <w:tmpl w:val="109EDC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6A536A3"/>
    <w:multiLevelType w:val="hybridMultilevel"/>
    <w:tmpl w:val="03807F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1" w15:restartNumberingAfterBreak="0">
    <w:nsid w:val="58770E65"/>
    <w:multiLevelType w:val="hybridMultilevel"/>
    <w:tmpl w:val="789421CA"/>
    <w:lvl w:ilvl="0" w:tplc="6498A102">
      <w:start w:val="12"/>
      <w:numFmt w:val="decimal"/>
      <w:lvlText w:val="%1"/>
      <w:lvlJc w:val="left"/>
      <w:pPr>
        <w:ind w:left="1080" w:hanging="360"/>
      </w:pPr>
      <w:rPr>
        <w:rFonts w:cs="Franklin Got Itc T OT Demi" w:hint="default"/>
        <w:color w:val="000000"/>
        <w:sz w:val="18"/>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2" w15:restartNumberingAfterBreak="0">
    <w:nsid w:val="66035589"/>
    <w:multiLevelType w:val="hybridMultilevel"/>
    <w:tmpl w:val="6BE6D44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3" w15:restartNumberingAfterBreak="0">
    <w:nsid w:val="6EE64543"/>
    <w:multiLevelType w:val="hybridMultilevel"/>
    <w:tmpl w:val="524204C4"/>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54642"/>
    <w:multiLevelType w:val="hybridMultilevel"/>
    <w:tmpl w:val="0E24D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3"/>
  </w:num>
  <w:num w:numId="5">
    <w:abstractNumId w:val="24"/>
  </w:num>
  <w:num w:numId="6">
    <w:abstractNumId w:val="20"/>
  </w:num>
  <w:num w:numId="7">
    <w:abstractNumId w:val="22"/>
  </w:num>
  <w:num w:numId="8">
    <w:abstractNumId w:val="5"/>
  </w:num>
  <w:num w:numId="9">
    <w:abstractNumId w:val="23"/>
  </w:num>
  <w:num w:numId="10">
    <w:abstractNumId w:val="18"/>
  </w:num>
  <w:num w:numId="11">
    <w:abstractNumId w:val="6"/>
  </w:num>
  <w:num w:numId="12">
    <w:abstractNumId w:val="7"/>
  </w:num>
  <w:num w:numId="13">
    <w:abstractNumId w:val="1"/>
  </w:num>
  <w:num w:numId="14">
    <w:abstractNumId w:val="17"/>
  </w:num>
  <w:num w:numId="15">
    <w:abstractNumId w:val="12"/>
  </w:num>
  <w:num w:numId="16">
    <w:abstractNumId w:val="15"/>
  </w:num>
  <w:num w:numId="17">
    <w:abstractNumId w:val="19"/>
  </w:num>
  <w:num w:numId="18">
    <w:abstractNumId w:val="11"/>
  </w:num>
  <w:num w:numId="19">
    <w:abstractNumId w:val="13"/>
  </w:num>
  <w:num w:numId="20">
    <w:abstractNumId w:val="9"/>
  </w:num>
  <w:num w:numId="21">
    <w:abstractNumId w:val="8"/>
  </w:num>
  <w:num w:numId="22">
    <w:abstractNumId w:val="17"/>
    <w:lvlOverride w:ilvl="0">
      <w:startOverride w:val="3"/>
    </w:lvlOverride>
    <w:lvlOverride w:ilvl="1">
      <w:startOverride w:val="2"/>
    </w:lvlOverride>
  </w:num>
  <w:num w:numId="23">
    <w:abstractNumId w:val="17"/>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17"/>
    <w:lvlOverride w:ilvl="0">
      <w:startOverride w:val="7"/>
    </w:lvlOverride>
    <w:lvlOverride w:ilvl="1">
      <w:startOverride w:val="2"/>
    </w:lvlOverride>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CB"/>
    <w:rsid w:val="000261BF"/>
    <w:rsid w:val="000279FB"/>
    <w:rsid w:val="00040544"/>
    <w:rsid w:val="000437BF"/>
    <w:rsid w:val="00044F4F"/>
    <w:rsid w:val="00075E0F"/>
    <w:rsid w:val="00085BE9"/>
    <w:rsid w:val="0009256C"/>
    <w:rsid w:val="000B1C7E"/>
    <w:rsid w:val="000E50D5"/>
    <w:rsid w:val="000E7792"/>
    <w:rsid w:val="0011637D"/>
    <w:rsid w:val="0014146F"/>
    <w:rsid w:val="00161620"/>
    <w:rsid w:val="0016675C"/>
    <w:rsid w:val="00167E6F"/>
    <w:rsid w:val="0018553F"/>
    <w:rsid w:val="00192FCD"/>
    <w:rsid w:val="001A055E"/>
    <w:rsid w:val="001B177A"/>
    <w:rsid w:val="001B48FF"/>
    <w:rsid w:val="001D0FD4"/>
    <w:rsid w:val="001D7357"/>
    <w:rsid w:val="001D7A16"/>
    <w:rsid w:val="002020B6"/>
    <w:rsid w:val="00202739"/>
    <w:rsid w:val="0020482A"/>
    <w:rsid w:val="00207C11"/>
    <w:rsid w:val="00215E7D"/>
    <w:rsid w:val="0022283E"/>
    <w:rsid w:val="00231A69"/>
    <w:rsid w:val="00243251"/>
    <w:rsid w:val="00254997"/>
    <w:rsid w:val="002642C0"/>
    <w:rsid w:val="0026748B"/>
    <w:rsid w:val="00272395"/>
    <w:rsid w:val="00274137"/>
    <w:rsid w:val="002B49A0"/>
    <w:rsid w:val="002B55EE"/>
    <w:rsid w:val="00310BBF"/>
    <w:rsid w:val="003271B1"/>
    <w:rsid w:val="003310AB"/>
    <w:rsid w:val="00334977"/>
    <w:rsid w:val="00343374"/>
    <w:rsid w:val="00372017"/>
    <w:rsid w:val="00377294"/>
    <w:rsid w:val="003917FD"/>
    <w:rsid w:val="00391A78"/>
    <w:rsid w:val="00395DFF"/>
    <w:rsid w:val="003A48AC"/>
    <w:rsid w:val="003C1965"/>
    <w:rsid w:val="003D05EA"/>
    <w:rsid w:val="003D2F50"/>
    <w:rsid w:val="003F633E"/>
    <w:rsid w:val="00414EBB"/>
    <w:rsid w:val="004165AD"/>
    <w:rsid w:val="00445849"/>
    <w:rsid w:val="00496438"/>
    <w:rsid w:val="004B30AE"/>
    <w:rsid w:val="004E1ED8"/>
    <w:rsid w:val="004E24ED"/>
    <w:rsid w:val="00551B87"/>
    <w:rsid w:val="005526E6"/>
    <w:rsid w:val="0056100C"/>
    <w:rsid w:val="0057327C"/>
    <w:rsid w:val="00587D48"/>
    <w:rsid w:val="00595AE1"/>
    <w:rsid w:val="005B4055"/>
    <w:rsid w:val="005B6EF6"/>
    <w:rsid w:val="005C1820"/>
    <w:rsid w:val="005C2C3D"/>
    <w:rsid w:val="005C2C92"/>
    <w:rsid w:val="005C733D"/>
    <w:rsid w:val="005C7821"/>
    <w:rsid w:val="005D1FD2"/>
    <w:rsid w:val="005D496C"/>
    <w:rsid w:val="005E330B"/>
    <w:rsid w:val="0060033C"/>
    <w:rsid w:val="00601946"/>
    <w:rsid w:val="006110E0"/>
    <w:rsid w:val="00627C69"/>
    <w:rsid w:val="00644009"/>
    <w:rsid w:val="00647534"/>
    <w:rsid w:val="0066306F"/>
    <w:rsid w:val="00664F15"/>
    <w:rsid w:val="00665CD3"/>
    <w:rsid w:val="00672ACB"/>
    <w:rsid w:val="00680A71"/>
    <w:rsid w:val="00682330"/>
    <w:rsid w:val="006979E8"/>
    <w:rsid w:val="006A575D"/>
    <w:rsid w:val="006D7F18"/>
    <w:rsid w:val="006E02E8"/>
    <w:rsid w:val="00721C3D"/>
    <w:rsid w:val="00730F4E"/>
    <w:rsid w:val="00752E6E"/>
    <w:rsid w:val="00765A82"/>
    <w:rsid w:val="007754E7"/>
    <w:rsid w:val="0078713A"/>
    <w:rsid w:val="007B3382"/>
    <w:rsid w:val="007B48DB"/>
    <w:rsid w:val="007E4F8E"/>
    <w:rsid w:val="007F2994"/>
    <w:rsid w:val="00806518"/>
    <w:rsid w:val="008069CD"/>
    <w:rsid w:val="00811A54"/>
    <w:rsid w:val="00817D93"/>
    <w:rsid w:val="00823D71"/>
    <w:rsid w:val="00824DF9"/>
    <w:rsid w:val="00825FBF"/>
    <w:rsid w:val="00835EA5"/>
    <w:rsid w:val="00837DE3"/>
    <w:rsid w:val="00846B96"/>
    <w:rsid w:val="0086490C"/>
    <w:rsid w:val="00865D3D"/>
    <w:rsid w:val="0086766F"/>
    <w:rsid w:val="008770E1"/>
    <w:rsid w:val="00881BED"/>
    <w:rsid w:val="0089006B"/>
    <w:rsid w:val="00890F46"/>
    <w:rsid w:val="008941B4"/>
    <w:rsid w:val="008A76CC"/>
    <w:rsid w:val="008B24EE"/>
    <w:rsid w:val="008C05F3"/>
    <w:rsid w:val="008D030C"/>
    <w:rsid w:val="008E3A21"/>
    <w:rsid w:val="008F556D"/>
    <w:rsid w:val="00945585"/>
    <w:rsid w:val="00953F2F"/>
    <w:rsid w:val="00961159"/>
    <w:rsid w:val="00983022"/>
    <w:rsid w:val="009840D5"/>
    <w:rsid w:val="00987DAC"/>
    <w:rsid w:val="00997183"/>
    <w:rsid w:val="009A2029"/>
    <w:rsid w:val="009B22C3"/>
    <w:rsid w:val="009C02EC"/>
    <w:rsid w:val="009C24CB"/>
    <w:rsid w:val="009D40EF"/>
    <w:rsid w:val="009D46B3"/>
    <w:rsid w:val="009E28CF"/>
    <w:rsid w:val="009F1320"/>
    <w:rsid w:val="009F5E72"/>
    <w:rsid w:val="00A15600"/>
    <w:rsid w:val="00A56738"/>
    <w:rsid w:val="00A60D2C"/>
    <w:rsid w:val="00A6602F"/>
    <w:rsid w:val="00A67260"/>
    <w:rsid w:val="00A72C8F"/>
    <w:rsid w:val="00A77A87"/>
    <w:rsid w:val="00A809B0"/>
    <w:rsid w:val="00AA5DF0"/>
    <w:rsid w:val="00AB02CB"/>
    <w:rsid w:val="00AB7285"/>
    <w:rsid w:val="00AC3887"/>
    <w:rsid w:val="00AC6EEC"/>
    <w:rsid w:val="00AC748D"/>
    <w:rsid w:val="00B04F5F"/>
    <w:rsid w:val="00B22220"/>
    <w:rsid w:val="00B42911"/>
    <w:rsid w:val="00B564F1"/>
    <w:rsid w:val="00B754B4"/>
    <w:rsid w:val="00B75A72"/>
    <w:rsid w:val="00B93116"/>
    <w:rsid w:val="00BA7775"/>
    <w:rsid w:val="00BC220C"/>
    <w:rsid w:val="00BC2342"/>
    <w:rsid w:val="00BC5C99"/>
    <w:rsid w:val="00C009F9"/>
    <w:rsid w:val="00C07F59"/>
    <w:rsid w:val="00C15C22"/>
    <w:rsid w:val="00C174EE"/>
    <w:rsid w:val="00C206D9"/>
    <w:rsid w:val="00C21E60"/>
    <w:rsid w:val="00C226CA"/>
    <w:rsid w:val="00C60822"/>
    <w:rsid w:val="00C8270A"/>
    <w:rsid w:val="00CC5D53"/>
    <w:rsid w:val="00CD16B3"/>
    <w:rsid w:val="00CE62DA"/>
    <w:rsid w:val="00D20BEA"/>
    <w:rsid w:val="00D3656C"/>
    <w:rsid w:val="00D36BC4"/>
    <w:rsid w:val="00D51B86"/>
    <w:rsid w:val="00D575EE"/>
    <w:rsid w:val="00D67E2B"/>
    <w:rsid w:val="00D71EA3"/>
    <w:rsid w:val="00D774AD"/>
    <w:rsid w:val="00DB037A"/>
    <w:rsid w:val="00DB1FF5"/>
    <w:rsid w:val="00DB7C27"/>
    <w:rsid w:val="00DC51CE"/>
    <w:rsid w:val="00DD7729"/>
    <w:rsid w:val="00DE3127"/>
    <w:rsid w:val="00E11E1F"/>
    <w:rsid w:val="00E21483"/>
    <w:rsid w:val="00E241C3"/>
    <w:rsid w:val="00E320AA"/>
    <w:rsid w:val="00E33901"/>
    <w:rsid w:val="00E43F26"/>
    <w:rsid w:val="00E47E8E"/>
    <w:rsid w:val="00E55EDE"/>
    <w:rsid w:val="00E574F5"/>
    <w:rsid w:val="00E82AAB"/>
    <w:rsid w:val="00E90F0F"/>
    <w:rsid w:val="00E97D54"/>
    <w:rsid w:val="00EB1625"/>
    <w:rsid w:val="00EB3D3D"/>
    <w:rsid w:val="00EB46B3"/>
    <w:rsid w:val="00EC099F"/>
    <w:rsid w:val="00EC50F5"/>
    <w:rsid w:val="00EC73B2"/>
    <w:rsid w:val="00ED49D4"/>
    <w:rsid w:val="00EE2892"/>
    <w:rsid w:val="00F012E8"/>
    <w:rsid w:val="00F014EA"/>
    <w:rsid w:val="00F03F35"/>
    <w:rsid w:val="00F10790"/>
    <w:rsid w:val="00F251D3"/>
    <w:rsid w:val="00F35579"/>
    <w:rsid w:val="00F45335"/>
    <w:rsid w:val="00F526F2"/>
    <w:rsid w:val="00F64DBF"/>
    <w:rsid w:val="00F72499"/>
    <w:rsid w:val="00FB3162"/>
    <w:rsid w:val="00FC563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544F"/>
  <w15:chartTrackingRefBased/>
  <w15:docId w15:val="{B6E40F5B-4D76-4ECC-BCDD-6EA7CC528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4E1ED8"/>
    <w:pPr>
      <w:keepNext/>
      <w:keepLines/>
      <w:numPr>
        <w:numId w:val="14"/>
      </w:numPr>
      <w:spacing w:before="240" w:after="120"/>
      <w:ind w:left="357" w:hanging="357"/>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E43F26"/>
    <w:pPr>
      <w:keepNext/>
      <w:keepLines/>
      <w:numPr>
        <w:numId w:val="15"/>
      </w:numPr>
      <w:spacing w:before="240" w:after="120"/>
      <w:ind w:left="0" w:firstLine="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0437BF"/>
    <w:pPr>
      <w:keepNext/>
      <w:keepLines/>
      <w:numPr>
        <w:numId w:val="19"/>
      </w:numPr>
      <w:spacing w:before="120" w:after="120"/>
      <w:ind w:left="0" w:firstLine="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C24CB"/>
    <w:pPr>
      <w:ind w:left="720"/>
      <w:contextualSpacing/>
    </w:pPr>
  </w:style>
  <w:style w:type="paragraph" w:customStyle="1" w:styleId="Default">
    <w:name w:val="Default"/>
    <w:rsid w:val="006D7F18"/>
    <w:pPr>
      <w:autoSpaceDE w:val="0"/>
      <w:autoSpaceDN w:val="0"/>
      <w:adjustRightInd w:val="0"/>
      <w:spacing w:after="0" w:line="240" w:lineRule="auto"/>
    </w:pPr>
    <w:rPr>
      <w:rFonts w:ascii="Franklin Got Itc T OT Demi" w:hAnsi="Franklin Got Itc T OT Demi" w:cs="Franklin Got Itc T OT Demi"/>
      <w:color w:val="000000"/>
      <w:sz w:val="24"/>
      <w:szCs w:val="24"/>
    </w:rPr>
  </w:style>
  <w:style w:type="character" w:customStyle="1" w:styleId="A0">
    <w:name w:val="A0"/>
    <w:uiPriority w:val="99"/>
    <w:rsid w:val="006D7F18"/>
    <w:rPr>
      <w:rFonts w:cs="Franklin Got Itc T OT Demi"/>
      <w:b/>
      <w:bCs/>
      <w:color w:val="000000"/>
      <w:sz w:val="90"/>
      <w:szCs w:val="90"/>
    </w:rPr>
  </w:style>
  <w:style w:type="character" w:customStyle="1" w:styleId="Nadpis2Char">
    <w:name w:val="Nadpis 2 Char"/>
    <w:basedOn w:val="Standardnpsmoodstavce"/>
    <w:link w:val="Nadpis2"/>
    <w:uiPriority w:val="9"/>
    <w:rsid w:val="00E43F26"/>
    <w:rPr>
      <w:rFonts w:asciiTheme="majorHAnsi" w:eastAsiaTheme="majorEastAsia" w:hAnsiTheme="majorHAnsi" w:cstheme="majorBidi"/>
      <w:color w:val="2F5496" w:themeColor="accent1" w:themeShade="BF"/>
      <w:sz w:val="26"/>
      <w:szCs w:val="26"/>
    </w:rPr>
  </w:style>
  <w:style w:type="paragraph" w:customStyle="1" w:styleId="m2808553823613493805msolistparagraph">
    <w:name w:val="m_2808553823613493805msolistparagraph"/>
    <w:basedOn w:val="Normln"/>
    <w:rsid w:val="004E1ED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Standardnpsmoodstavce"/>
    <w:link w:val="Nadpis1"/>
    <w:uiPriority w:val="9"/>
    <w:rsid w:val="004E1ED8"/>
    <w:rPr>
      <w:rFonts w:asciiTheme="majorHAnsi" w:eastAsiaTheme="majorEastAsia" w:hAnsiTheme="majorHAnsi" w:cstheme="majorBidi"/>
      <w:color w:val="2F5496" w:themeColor="accent1" w:themeShade="BF"/>
      <w:sz w:val="32"/>
      <w:szCs w:val="32"/>
    </w:rPr>
  </w:style>
  <w:style w:type="paragraph" w:styleId="Nadpisobsahu">
    <w:name w:val="TOC Heading"/>
    <w:basedOn w:val="Nadpis1"/>
    <w:next w:val="Normln"/>
    <w:uiPriority w:val="39"/>
    <w:unhideWhenUsed/>
    <w:qFormat/>
    <w:rsid w:val="004E1ED8"/>
    <w:pPr>
      <w:numPr>
        <w:numId w:val="0"/>
      </w:numPr>
      <w:spacing w:after="0"/>
      <w:outlineLvl w:val="9"/>
    </w:pPr>
    <w:rPr>
      <w:lang w:eastAsia="sk-SK"/>
    </w:rPr>
  </w:style>
  <w:style w:type="paragraph" w:styleId="Obsah1">
    <w:name w:val="toc 1"/>
    <w:basedOn w:val="Normln"/>
    <w:next w:val="Normln"/>
    <w:autoRedefine/>
    <w:uiPriority w:val="39"/>
    <w:unhideWhenUsed/>
    <w:rsid w:val="00DD7729"/>
    <w:pPr>
      <w:tabs>
        <w:tab w:val="left" w:pos="440"/>
        <w:tab w:val="right" w:leader="dot" w:pos="9062"/>
      </w:tabs>
      <w:spacing w:after="100"/>
    </w:pPr>
    <w:rPr>
      <w:b/>
      <w:bCs/>
      <w:noProof/>
    </w:rPr>
  </w:style>
  <w:style w:type="character" w:styleId="Hypertextovodkaz">
    <w:name w:val="Hyperlink"/>
    <w:basedOn w:val="Standardnpsmoodstavce"/>
    <w:uiPriority w:val="99"/>
    <w:unhideWhenUsed/>
    <w:rsid w:val="004E1ED8"/>
    <w:rPr>
      <w:color w:val="0563C1" w:themeColor="hyperlink"/>
      <w:u w:val="single"/>
    </w:rPr>
  </w:style>
  <w:style w:type="paragraph" w:styleId="Bezmezer">
    <w:name w:val="No Spacing"/>
    <w:uiPriority w:val="1"/>
    <w:qFormat/>
    <w:rsid w:val="002642C0"/>
    <w:pPr>
      <w:widowControl w:val="0"/>
      <w:adjustRightInd w:val="0"/>
      <w:spacing w:after="0" w:line="360" w:lineRule="atLeast"/>
      <w:jc w:val="both"/>
      <w:textAlignment w:val="baseline"/>
    </w:pPr>
    <w:rPr>
      <w:rFonts w:ascii="Times New Roman" w:eastAsia="Times New Roman" w:hAnsi="Times New Roman" w:cs="Times New Roman"/>
    </w:rPr>
  </w:style>
  <w:style w:type="table" w:styleId="Mkatabulky">
    <w:name w:val="Table Grid"/>
    <w:basedOn w:val="Normlntabulka"/>
    <w:uiPriority w:val="59"/>
    <w:rsid w:val="002642C0"/>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unhideWhenUsed/>
    <w:rsid w:val="00765A82"/>
    <w:pPr>
      <w:spacing w:line="240" w:lineRule="auto"/>
    </w:pPr>
    <w:rPr>
      <w:sz w:val="20"/>
      <w:szCs w:val="20"/>
      <w:lang w:val="cs-CZ"/>
    </w:rPr>
  </w:style>
  <w:style w:type="character" w:customStyle="1" w:styleId="TextkomenteChar">
    <w:name w:val="Text komentáře Char"/>
    <w:basedOn w:val="Standardnpsmoodstavce"/>
    <w:link w:val="Textkomente"/>
    <w:uiPriority w:val="99"/>
    <w:rsid w:val="00765A82"/>
    <w:rPr>
      <w:sz w:val="20"/>
      <w:szCs w:val="20"/>
      <w:lang w:val="cs-CZ"/>
    </w:rPr>
  </w:style>
  <w:style w:type="paragraph" w:styleId="Obsah2">
    <w:name w:val="toc 2"/>
    <w:basedOn w:val="Normln"/>
    <w:next w:val="Normln"/>
    <w:autoRedefine/>
    <w:uiPriority w:val="39"/>
    <w:unhideWhenUsed/>
    <w:rsid w:val="00372017"/>
    <w:pPr>
      <w:spacing w:after="100"/>
      <w:ind w:left="220"/>
    </w:pPr>
  </w:style>
  <w:style w:type="character" w:customStyle="1" w:styleId="Nadpis3Char">
    <w:name w:val="Nadpis 3 Char"/>
    <w:basedOn w:val="Standardnpsmoodstavce"/>
    <w:link w:val="Nadpis3"/>
    <w:uiPriority w:val="9"/>
    <w:rsid w:val="000437BF"/>
    <w:rPr>
      <w:rFonts w:asciiTheme="majorHAnsi" w:eastAsiaTheme="majorEastAsia" w:hAnsiTheme="majorHAnsi" w:cstheme="majorBidi"/>
      <w:color w:val="1F3763" w:themeColor="accent1" w:themeShade="7F"/>
      <w:sz w:val="24"/>
      <w:szCs w:val="24"/>
    </w:rPr>
  </w:style>
  <w:style w:type="paragraph" w:styleId="Obsah3">
    <w:name w:val="toc 3"/>
    <w:basedOn w:val="Normln"/>
    <w:next w:val="Normln"/>
    <w:autoRedefine/>
    <w:uiPriority w:val="39"/>
    <w:unhideWhenUsed/>
    <w:rsid w:val="00F03F35"/>
    <w:pPr>
      <w:spacing w:after="100"/>
      <w:ind w:left="440"/>
    </w:pPr>
  </w:style>
  <w:style w:type="paragraph" w:customStyle="1" w:styleId="Pa14">
    <w:name w:val="Pa14"/>
    <w:basedOn w:val="Default"/>
    <w:next w:val="Default"/>
    <w:uiPriority w:val="99"/>
    <w:rsid w:val="003C1965"/>
    <w:pPr>
      <w:spacing w:line="181" w:lineRule="atLeast"/>
    </w:pPr>
    <w:rPr>
      <w:rFonts w:ascii="Franklin Got Itc T OT Book" w:hAnsi="Franklin Got Itc T OT Book" w:cstheme="minorBidi"/>
      <w:color w:val="auto"/>
    </w:rPr>
  </w:style>
  <w:style w:type="paragraph" w:customStyle="1" w:styleId="Pa15">
    <w:name w:val="Pa15"/>
    <w:basedOn w:val="Default"/>
    <w:next w:val="Default"/>
    <w:uiPriority w:val="99"/>
    <w:rsid w:val="009C02EC"/>
    <w:pPr>
      <w:spacing w:line="181" w:lineRule="atLeast"/>
    </w:pPr>
    <w:rPr>
      <w:rFonts w:ascii="Franklin Got Itc T OT Book" w:hAnsi="Franklin Got Itc T OT Book" w:cstheme="minorBidi"/>
      <w:color w:val="auto"/>
    </w:rPr>
  </w:style>
  <w:style w:type="paragraph" w:styleId="Textbubliny">
    <w:name w:val="Balloon Text"/>
    <w:basedOn w:val="Normln"/>
    <w:link w:val="TextbublinyChar"/>
    <w:uiPriority w:val="99"/>
    <w:semiHidden/>
    <w:unhideWhenUsed/>
    <w:rsid w:val="003271B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71B1"/>
    <w:rPr>
      <w:rFonts w:ascii="Segoe UI" w:hAnsi="Segoe UI" w:cs="Segoe UI"/>
      <w:sz w:val="18"/>
      <w:szCs w:val="18"/>
    </w:rPr>
  </w:style>
  <w:style w:type="character" w:styleId="Nevyeenzmnka">
    <w:name w:val="Unresolved Mention"/>
    <w:basedOn w:val="Standardnpsmoodstavce"/>
    <w:uiPriority w:val="99"/>
    <w:semiHidden/>
    <w:unhideWhenUsed/>
    <w:rsid w:val="00A56738"/>
    <w:rPr>
      <w:color w:val="605E5C"/>
      <w:shd w:val="clear" w:color="auto" w:fill="E1DFDD"/>
    </w:rPr>
  </w:style>
  <w:style w:type="paragraph" w:styleId="Textpoznpodarou">
    <w:name w:val="footnote text"/>
    <w:basedOn w:val="Normln"/>
    <w:link w:val="TextpoznpodarouChar"/>
    <w:uiPriority w:val="99"/>
    <w:semiHidden/>
    <w:unhideWhenUsed/>
    <w:rsid w:val="0033497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34977"/>
    <w:rPr>
      <w:sz w:val="20"/>
      <w:szCs w:val="20"/>
    </w:rPr>
  </w:style>
  <w:style w:type="character" w:styleId="Znakapoznpodarou">
    <w:name w:val="footnote reference"/>
    <w:basedOn w:val="Standardnpsmoodstavce"/>
    <w:uiPriority w:val="99"/>
    <w:semiHidden/>
    <w:unhideWhenUsed/>
    <w:rsid w:val="00334977"/>
    <w:rPr>
      <w:vertAlign w:val="superscript"/>
    </w:rPr>
  </w:style>
  <w:style w:type="character" w:styleId="Sledovanodkaz">
    <w:name w:val="FollowedHyperlink"/>
    <w:basedOn w:val="Standardnpsmoodstavce"/>
    <w:uiPriority w:val="99"/>
    <w:semiHidden/>
    <w:unhideWhenUsed/>
    <w:rsid w:val="00DB7C27"/>
    <w:rPr>
      <w:color w:val="954F72" w:themeColor="followedHyperlink"/>
      <w:u w:val="single"/>
    </w:rPr>
  </w:style>
  <w:style w:type="character" w:customStyle="1" w:styleId="A3">
    <w:name w:val="A3"/>
    <w:uiPriority w:val="99"/>
    <w:rsid w:val="00806518"/>
    <w:rPr>
      <w:rFonts w:cs="Franklin Got Itc T OT Book"/>
      <w:color w:val="000000"/>
      <w:sz w:val="18"/>
      <w:szCs w:val="18"/>
    </w:rPr>
  </w:style>
  <w:style w:type="paragraph" w:customStyle="1" w:styleId="Pa26">
    <w:name w:val="Pa26"/>
    <w:basedOn w:val="Default"/>
    <w:next w:val="Default"/>
    <w:uiPriority w:val="99"/>
    <w:rsid w:val="00A6602F"/>
    <w:pPr>
      <w:spacing w:line="201" w:lineRule="atLeast"/>
    </w:pPr>
    <w:rPr>
      <w:rFonts w:cstheme="minorBidi"/>
      <w:color w:val="auto"/>
    </w:rPr>
  </w:style>
  <w:style w:type="paragraph" w:customStyle="1" w:styleId="Pa27">
    <w:name w:val="Pa27"/>
    <w:basedOn w:val="Default"/>
    <w:next w:val="Default"/>
    <w:uiPriority w:val="99"/>
    <w:rsid w:val="00A6602F"/>
    <w:pPr>
      <w:spacing w:line="201" w:lineRule="atLeast"/>
    </w:pPr>
    <w:rPr>
      <w:rFonts w:cstheme="minorBidi"/>
      <w:color w:val="auto"/>
    </w:rPr>
  </w:style>
  <w:style w:type="character" w:customStyle="1" w:styleId="A14">
    <w:name w:val="A14"/>
    <w:uiPriority w:val="99"/>
    <w:rsid w:val="00A6602F"/>
    <w:rPr>
      <w:rFonts w:cs="Franklin Got Itc T OT Demi"/>
      <w:color w:val="000000"/>
      <w:sz w:val="11"/>
      <w:szCs w:val="11"/>
    </w:rPr>
  </w:style>
  <w:style w:type="character" w:customStyle="1" w:styleId="A12">
    <w:name w:val="A12"/>
    <w:uiPriority w:val="99"/>
    <w:rsid w:val="00A6602F"/>
    <w:rPr>
      <w:rFonts w:ascii="Arial" w:hAnsi="Arial" w:cs="Arial"/>
      <w:b/>
      <w:bCs/>
      <w:color w:val="000000"/>
      <w:sz w:val="16"/>
      <w:szCs w:val="16"/>
    </w:rPr>
  </w:style>
  <w:style w:type="paragraph" w:customStyle="1" w:styleId="Pa28">
    <w:name w:val="Pa28"/>
    <w:basedOn w:val="Default"/>
    <w:next w:val="Default"/>
    <w:uiPriority w:val="99"/>
    <w:rsid w:val="00A6602F"/>
    <w:pPr>
      <w:spacing w:line="201" w:lineRule="atLeast"/>
    </w:pPr>
    <w:rPr>
      <w:rFonts w:cstheme="minorBidi"/>
      <w:color w:val="auto"/>
    </w:rPr>
  </w:style>
  <w:style w:type="paragraph" w:customStyle="1" w:styleId="Pa29">
    <w:name w:val="Pa29"/>
    <w:basedOn w:val="Default"/>
    <w:next w:val="Default"/>
    <w:uiPriority w:val="99"/>
    <w:rsid w:val="00A6602F"/>
    <w:pPr>
      <w:spacing w:line="201" w:lineRule="atLeast"/>
    </w:pPr>
    <w:rPr>
      <w:rFonts w:cstheme="minorBidi"/>
      <w:color w:val="auto"/>
    </w:rPr>
  </w:style>
  <w:style w:type="paragraph" w:styleId="Zhlav">
    <w:name w:val="header"/>
    <w:basedOn w:val="Normln"/>
    <w:link w:val="ZhlavChar"/>
    <w:uiPriority w:val="99"/>
    <w:unhideWhenUsed/>
    <w:rsid w:val="00823D7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23D71"/>
  </w:style>
  <w:style w:type="paragraph" w:styleId="Zpat">
    <w:name w:val="footer"/>
    <w:basedOn w:val="Normln"/>
    <w:link w:val="ZpatChar"/>
    <w:uiPriority w:val="99"/>
    <w:unhideWhenUsed/>
    <w:rsid w:val="00823D71"/>
    <w:pPr>
      <w:tabs>
        <w:tab w:val="center" w:pos="4536"/>
        <w:tab w:val="right" w:pos="9072"/>
      </w:tabs>
      <w:spacing w:after="0" w:line="240" w:lineRule="auto"/>
    </w:pPr>
  </w:style>
  <w:style w:type="character" w:customStyle="1" w:styleId="ZpatChar">
    <w:name w:val="Zápatí Char"/>
    <w:basedOn w:val="Standardnpsmoodstavce"/>
    <w:link w:val="Zpat"/>
    <w:uiPriority w:val="99"/>
    <w:rsid w:val="00823D71"/>
  </w:style>
  <w:style w:type="character" w:styleId="Odkaznakoment">
    <w:name w:val="annotation reference"/>
    <w:basedOn w:val="Standardnpsmoodstavce"/>
    <w:uiPriority w:val="99"/>
    <w:semiHidden/>
    <w:unhideWhenUsed/>
    <w:rsid w:val="009F1320"/>
    <w:rPr>
      <w:sz w:val="16"/>
      <w:szCs w:val="16"/>
    </w:rPr>
  </w:style>
  <w:style w:type="paragraph" w:styleId="Pedmtkomente">
    <w:name w:val="annotation subject"/>
    <w:basedOn w:val="Textkomente"/>
    <w:next w:val="Textkomente"/>
    <w:link w:val="PedmtkomenteChar"/>
    <w:uiPriority w:val="99"/>
    <w:semiHidden/>
    <w:unhideWhenUsed/>
    <w:rsid w:val="009F1320"/>
    <w:rPr>
      <w:b/>
      <w:bCs/>
      <w:lang w:val="sk-SK"/>
    </w:rPr>
  </w:style>
  <w:style w:type="character" w:customStyle="1" w:styleId="PedmtkomenteChar">
    <w:name w:val="Předmět komentáře Char"/>
    <w:basedOn w:val="TextkomenteChar"/>
    <w:link w:val="Pedmtkomente"/>
    <w:uiPriority w:val="99"/>
    <w:semiHidden/>
    <w:rsid w:val="009F1320"/>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040">
      <w:bodyDiv w:val="1"/>
      <w:marLeft w:val="0"/>
      <w:marRight w:val="0"/>
      <w:marTop w:val="0"/>
      <w:marBottom w:val="0"/>
      <w:divBdr>
        <w:top w:val="none" w:sz="0" w:space="0" w:color="auto"/>
        <w:left w:val="none" w:sz="0" w:space="0" w:color="auto"/>
        <w:bottom w:val="none" w:sz="0" w:space="0" w:color="auto"/>
        <w:right w:val="none" w:sz="0" w:space="0" w:color="auto"/>
      </w:divBdr>
    </w:div>
    <w:div w:id="22831940">
      <w:bodyDiv w:val="1"/>
      <w:marLeft w:val="0"/>
      <w:marRight w:val="0"/>
      <w:marTop w:val="0"/>
      <w:marBottom w:val="0"/>
      <w:divBdr>
        <w:top w:val="none" w:sz="0" w:space="0" w:color="auto"/>
        <w:left w:val="none" w:sz="0" w:space="0" w:color="auto"/>
        <w:bottom w:val="none" w:sz="0" w:space="0" w:color="auto"/>
        <w:right w:val="none" w:sz="0" w:space="0" w:color="auto"/>
      </w:divBdr>
    </w:div>
    <w:div w:id="154955372">
      <w:bodyDiv w:val="1"/>
      <w:marLeft w:val="0"/>
      <w:marRight w:val="0"/>
      <w:marTop w:val="0"/>
      <w:marBottom w:val="0"/>
      <w:divBdr>
        <w:top w:val="none" w:sz="0" w:space="0" w:color="auto"/>
        <w:left w:val="none" w:sz="0" w:space="0" w:color="auto"/>
        <w:bottom w:val="none" w:sz="0" w:space="0" w:color="auto"/>
        <w:right w:val="none" w:sz="0" w:space="0" w:color="auto"/>
      </w:divBdr>
    </w:div>
    <w:div w:id="195625711">
      <w:bodyDiv w:val="1"/>
      <w:marLeft w:val="0"/>
      <w:marRight w:val="0"/>
      <w:marTop w:val="0"/>
      <w:marBottom w:val="0"/>
      <w:divBdr>
        <w:top w:val="none" w:sz="0" w:space="0" w:color="auto"/>
        <w:left w:val="none" w:sz="0" w:space="0" w:color="auto"/>
        <w:bottom w:val="none" w:sz="0" w:space="0" w:color="auto"/>
        <w:right w:val="none" w:sz="0" w:space="0" w:color="auto"/>
      </w:divBdr>
    </w:div>
    <w:div w:id="204951733">
      <w:bodyDiv w:val="1"/>
      <w:marLeft w:val="0"/>
      <w:marRight w:val="0"/>
      <w:marTop w:val="0"/>
      <w:marBottom w:val="0"/>
      <w:divBdr>
        <w:top w:val="none" w:sz="0" w:space="0" w:color="auto"/>
        <w:left w:val="none" w:sz="0" w:space="0" w:color="auto"/>
        <w:bottom w:val="none" w:sz="0" w:space="0" w:color="auto"/>
        <w:right w:val="none" w:sz="0" w:space="0" w:color="auto"/>
      </w:divBdr>
    </w:div>
    <w:div w:id="217472544">
      <w:bodyDiv w:val="1"/>
      <w:marLeft w:val="0"/>
      <w:marRight w:val="0"/>
      <w:marTop w:val="0"/>
      <w:marBottom w:val="0"/>
      <w:divBdr>
        <w:top w:val="none" w:sz="0" w:space="0" w:color="auto"/>
        <w:left w:val="none" w:sz="0" w:space="0" w:color="auto"/>
        <w:bottom w:val="none" w:sz="0" w:space="0" w:color="auto"/>
        <w:right w:val="none" w:sz="0" w:space="0" w:color="auto"/>
      </w:divBdr>
    </w:div>
    <w:div w:id="360475928">
      <w:bodyDiv w:val="1"/>
      <w:marLeft w:val="0"/>
      <w:marRight w:val="0"/>
      <w:marTop w:val="0"/>
      <w:marBottom w:val="0"/>
      <w:divBdr>
        <w:top w:val="none" w:sz="0" w:space="0" w:color="auto"/>
        <w:left w:val="none" w:sz="0" w:space="0" w:color="auto"/>
        <w:bottom w:val="none" w:sz="0" w:space="0" w:color="auto"/>
        <w:right w:val="none" w:sz="0" w:space="0" w:color="auto"/>
      </w:divBdr>
    </w:div>
    <w:div w:id="371423958">
      <w:bodyDiv w:val="1"/>
      <w:marLeft w:val="0"/>
      <w:marRight w:val="0"/>
      <w:marTop w:val="0"/>
      <w:marBottom w:val="0"/>
      <w:divBdr>
        <w:top w:val="none" w:sz="0" w:space="0" w:color="auto"/>
        <w:left w:val="none" w:sz="0" w:space="0" w:color="auto"/>
        <w:bottom w:val="none" w:sz="0" w:space="0" w:color="auto"/>
        <w:right w:val="none" w:sz="0" w:space="0" w:color="auto"/>
      </w:divBdr>
    </w:div>
    <w:div w:id="483400395">
      <w:bodyDiv w:val="1"/>
      <w:marLeft w:val="0"/>
      <w:marRight w:val="0"/>
      <w:marTop w:val="0"/>
      <w:marBottom w:val="0"/>
      <w:divBdr>
        <w:top w:val="none" w:sz="0" w:space="0" w:color="auto"/>
        <w:left w:val="none" w:sz="0" w:space="0" w:color="auto"/>
        <w:bottom w:val="none" w:sz="0" w:space="0" w:color="auto"/>
        <w:right w:val="none" w:sz="0" w:space="0" w:color="auto"/>
      </w:divBdr>
    </w:div>
    <w:div w:id="500201359">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732508300">
      <w:bodyDiv w:val="1"/>
      <w:marLeft w:val="0"/>
      <w:marRight w:val="0"/>
      <w:marTop w:val="0"/>
      <w:marBottom w:val="0"/>
      <w:divBdr>
        <w:top w:val="none" w:sz="0" w:space="0" w:color="auto"/>
        <w:left w:val="none" w:sz="0" w:space="0" w:color="auto"/>
        <w:bottom w:val="none" w:sz="0" w:space="0" w:color="auto"/>
        <w:right w:val="none" w:sz="0" w:space="0" w:color="auto"/>
      </w:divBdr>
    </w:div>
    <w:div w:id="1044670928">
      <w:bodyDiv w:val="1"/>
      <w:marLeft w:val="0"/>
      <w:marRight w:val="0"/>
      <w:marTop w:val="0"/>
      <w:marBottom w:val="0"/>
      <w:divBdr>
        <w:top w:val="none" w:sz="0" w:space="0" w:color="auto"/>
        <w:left w:val="none" w:sz="0" w:space="0" w:color="auto"/>
        <w:bottom w:val="none" w:sz="0" w:space="0" w:color="auto"/>
        <w:right w:val="none" w:sz="0" w:space="0" w:color="auto"/>
      </w:divBdr>
    </w:div>
    <w:div w:id="1187675888">
      <w:bodyDiv w:val="1"/>
      <w:marLeft w:val="0"/>
      <w:marRight w:val="0"/>
      <w:marTop w:val="0"/>
      <w:marBottom w:val="0"/>
      <w:divBdr>
        <w:top w:val="none" w:sz="0" w:space="0" w:color="auto"/>
        <w:left w:val="none" w:sz="0" w:space="0" w:color="auto"/>
        <w:bottom w:val="none" w:sz="0" w:space="0" w:color="auto"/>
        <w:right w:val="none" w:sz="0" w:space="0" w:color="auto"/>
      </w:divBdr>
    </w:div>
    <w:div w:id="1200242060">
      <w:bodyDiv w:val="1"/>
      <w:marLeft w:val="0"/>
      <w:marRight w:val="0"/>
      <w:marTop w:val="0"/>
      <w:marBottom w:val="0"/>
      <w:divBdr>
        <w:top w:val="none" w:sz="0" w:space="0" w:color="auto"/>
        <w:left w:val="none" w:sz="0" w:space="0" w:color="auto"/>
        <w:bottom w:val="none" w:sz="0" w:space="0" w:color="auto"/>
        <w:right w:val="none" w:sz="0" w:space="0" w:color="auto"/>
      </w:divBdr>
    </w:div>
    <w:div w:id="1232542138">
      <w:bodyDiv w:val="1"/>
      <w:marLeft w:val="0"/>
      <w:marRight w:val="0"/>
      <w:marTop w:val="0"/>
      <w:marBottom w:val="0"/>
      <w:divBdr>
        <w:top w:val="none" w:sz="0" w:space="0" w:color="auto"/>
        <w:left w:val="none" w:sz="0" w:space="0" w:color="auto"/>
        <w:bottom w:val="none" w:sz="0" w:space="0" w:color="auto"/>
        <w:right w:val="none" w:sz="0" w:space="0" w:color="auto"/>
      </w:divBdr>
    </w:div>
    <w:div w:id="1256596884">
      <w:bodyDiv w:val="1"/>
      <w:marLeft w:val="0"/>
      <w:marRight w:val="0"/>
      <w:marTop w:val="0"/>
      <w:marBottom w:val="0"/>
      <w:divBdr>
        <w:top w:val="none" w:sz="0" w:space="0" w:color="auto"/>
        <w:left w:val="none" w:sz="0" w:space="0" w:color="auto"/>
        <w:bottom w:val="none" w:sz="0" w:space="0" w:color="auto"/>
        <w:right w:val="none" w:sz="0" w:space="0" w:color="auto"/>
      </w:divBdr>
    </w:div>
    <w:div w:id="1365713793">
      <w:bodyDiv w:val="1"/>
      <w:marLeft w:val="0"/>
      <w:marRight w:val="0"/>
      <w:marTop w:val="0"/>
      <w:marBottom w:val="0"/>
      <w:divBdr>
        <w:top w:val="none" w:sz="0" w:space="0" w:color="auto"/>
        <w:left w:val="none" w:sz="0" w:space="0" w:color="auto"/>
        <w:bottom w:val="none" w:sz="0" w:space="0" w:color="auto"/>
        <w:right w:val="none" w:sz="0" w:space="0" w:color="auto"/>
      </w:divBdr>
    </w:div>
    <w:div w:id="1477380625">
      <w:bodyDiv w:val="1"/>
      <w:marLeft w:val="0"/>
      <w:marRight w:val="0"/>
      <w:marTop w:val="0"/>
      <w:marBottom w:val="0"/>
      <w:divBdr>
        <w:top w:val="none" w:sz="0" w:space="0" w:color="auto"/>
        <w:left w:val="none" w:sz="0" w:space="0" w:color="auto"/>
        <w:bottom w:val="none" w:sz="0" w:space="0" w:color="auto"/>
        <w:right w:val="none" w:sz="0" w:space="0" w:color="auto"/>
      </w:divBdr>
    </w:div>
    <w:div w:id="1506506592">
      <w:bodyDiv w:val="1"/>
      <w:marLeft w:val="0"/>
      <w:marRight w:val="0"/>
      <w:marTop w:val="0"/>
      <w:marBottom w:val="0"/>
      <w:divBdr>
        <w:top w:val="none" w:sz="0" w:space="0" w:color="auto"/>
        <w:left w:val="none" w:sz="0" w:space="0" w:color="auto"/>
        <w:bottom w:val="none" w:sz="0" w:space="0" w:color="auto"/>
        <w:right w:val="none" w:sz="0" w:space="0" w:color="auto"/>
      </w:divBdr>
    </w:div>
    <w:div w:id="1571236785">
      <w:bodyDiv w:val="1"/>
      <w:marLeft w:val="0"/>
      <w:marRight w:val="0"/>
      <w:marTop w:val="0"/>
      <w:marBottom w:val="0"/>
      <w:divBdr>
        <w:top w:val="none" w:sz="0" w:space="0" w:color="auto"/>
        <w:left w:val="none" w:sz="0" w:space="0" w:color="auto"/>
        <w:bottom w:val="none" w:sz="0" w:space="0" w:color="auto"/>
        <w:right w:val="none" w:sz="0" w:space="0" w:color="auto"/>
      </w:divBdr>
    </w:div>
    <w:div w:id="1647851704">
      <w:bodyDiv w:val="1"/>
      <w:marLeft w:val="0"/>
      <w:marRight w:val="0"/>
      <w:marTop w:val="0"/>
      <w:marBottom w:val="0"/>
      <w:divBdr>
        <w:top w:val="none" w:sz="0" w:space="0" w:color="auto"/>
        <w:left w:val="none" w:sz="0" w:space="0" w:color="auto"/>
        <w:bottom w:val="none" w:sz="0" w:space="0" w:color="auto"/>
        <w:right w:val="none" w:sz="0" w:space="0" w:color="auto"/>
      </w:divBdr>
    </w:div>
    <w:div w:id="1654799328">
      <w:bodyDiv w:val="1"/>
      <w:marLeft w:val="0"/>
      <w:marRight w:val="0"/>
      <w:marTop w:val="0"/>
      <w:marBottom w:val="0"/>
      <w:divBdr>
        <w:top w:val="none" w:sz="0" w:space="0" w:color="auto"/>
        <w:left w:val="none" w:sz="0" w:space="0" w:color="auto"/>
        <w:bottom w:val="none" w:sz="0" w:space="0" w:color="auto"/>
        <w:right w:val="none" w:sz="0" w:space="0" w:color="auto"/>
      </w:divBdr>
    </w:div>
    <w:div w:id="1734961303">
      <w:bodyDiv w:val="1"/>
      <w:marLeft w:val="0"/>
      <w:marRight w:val="0"/>
      <w:marTop w:val="0"/>
      <w:marBottom w:val="0"/>
      <w:divBdr>
        <w:top w:val="none" w:sz="0" w:space="0" w:color="auto"/>
        <w:left w:val="none" w:sz="0" w:space="0" w:color="auto"/>
        <w:bottom w:val="none" w:sz="0" w:space="0" w:color="auto"/>
        <w:right w:val="none" w:sz="0" w:space="0" w:color="auto"/>
      </w:divBdr>
    </w:div>
    <w:div w:id="1816408341">
      <w:bodyDiv w:val="1"/>
      <w:marLeft w:val="0"/>
      <w:marRight w:val="0"/>
      <w:marTop w:val="0"/>
      <w:marBottom w:val="0"/>
      <w:divBdr>
        <w:top w:val="none" w:sz="0" w:space="0" w:color="auto"/>
        <w:left w:val="none" w:sz="0" w:space="0" w:color="auto"/>
        <w:bottom w:val="none" w:sz="0" w:space="0" w:color="auto"/>
        <w:right w:val="none" w:sz="0" w:space="0" w:color="auto"/>
      </w:divBdr>
    </w:div>
    <w:div w:id="1952933665">
      <w:bodyDiv w:val="1"/>
      <w:marLeft w:val="0"/>
      <w:marRight w:val="0"/>
      <w:marTop w:val="0"/>
      <w:marBottom w:val="0"/>
      <w:divBdr>
        <w:top w:val="none" w:sz="0" w:space="0" w:color="auto"/>
        <w:left w:val="none" w:sz="0" w:space="0" w:color="auto"/>
        <w:bottom w:val="none" w:sz="0" w:space="0" w:color="auto"/>
        <w:right w:val="none" w:sz="0" w:space="0" w:color="auto"/>
      </w:divBdr>
    </w:div>
    <w:div w:id="2007395088">
      <w:bodyDiv w:val="1"/>
      <w:marLeft w:val="0"/>
      <w:marRight w:val="0"/>
      <w:marTop w:val="0"/>
      <w:marBottom w:val="0"/>
      <w:divBdr>
        <w:top w:val="none" w:sz="0" w:space="0" w:color="auto"/>
        <w:left w:val="none" w:sz="0" w:space="0" w:color="auto"/>
        <w:bottom w:val="none" w:sz="0" w:space="0" w:color="auto"/>
        <w:right w:val="none" w:sz="0" w:space="0" w:color="auto"/>
      </w:divBdr>
    </w:div>
    <w:div w:id="2008899310">
      <w:bodyDiv w:val="1"/>
      <w:marLeft w:val="0"/>
      <w:marRight w:val="0"/>
      <w:marTop w:val="0"/>
      <w:marBottom w:val="0"/>
      <w:divBdr>
        <w:top w:val="none" w:sz="0" w:space="0" w:color="auto"/>
        <w:left w:val="none" w:sz="0" w:space="0" w:color="auto"/>
        <w:bottom w:val="none" w:sz="0" w:space="0" w:color="auto"/>
        <w:right w:val="none" w:sz="0" w:space="0" w:color="auto"/>
      </w:divBdr>
    </w:div>
    <w:div w:id="214207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dex.sme.sk/kalkulacky/kalkulator-cistej-mzdy/2018" TargetMode="External"/><Relationship Id="rId18" Type="http://schemas.openxmlformats.org/officeDocument/2006/relationships/hyperlink" Target="https://www.tsus.sk/o_tsus/publikacie/metodika_2015_tsu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epa.priateliazeme.sk/images/publikacie/EVS_vystupy/Metodika_budovy_web.pdf" TargetMode="External"/><Relationship Id="rId2" Type="http://schemas.openxmlformats.org/officeDocument/2006/relationships/numbering" Target="numbering.xml"/><Relationship Id="rId16" Type="http://schemas.openxmlformats.org/officeDocument/2006/relationships/hyperlink" Target="https://rokovania.gov.sk/RVL/Material/2560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mindop.sk/ministerstvo-1/vystavba-5/stavebnictvo/dokumenty-a-materialy/aktualizacia-strategie-obnovy-fondu-bytovych-a-nebytovych-budov-v-slovenskej-republike-zip-2-6mb"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www.socpoist.sk/priemerna-vyska-davky-v-nezamestnanosti/1663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Se&#353;it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strRef>
              <c:f>List1!$B$14:$O$14</c:f>
              <c:strCache>
                <c:ptCount val="14"/>
                <c:pt idx="0">
                  <c:v>do r. 1899</c:v>
                </c:pt>
                <c:pt idx="1">
                  <c:v>1900 - 1919</c:v>
                </c:pt>
                <c:pt idx="2">
                  <c:v>1920 - 1945</c:v>
                </c:pt>
                <c:pt idx="3">
                  <c:v>1946 -1960 </c:v>
                </c:pt>
                <c:pt idx="4">
                  <c:v>1961 - 1970</c:v>
                </c:pt>
                <c:pt idx="5">
                  <c:v>1971 - 1980</c:v>
                </c:pt>
                <c:pt idx="6">
                  <c:v>1981 - 1983</c:v>
                </c:pt>
                <c:pt idx="7">
                  <c:v>1984 -1989</c:v>
                </c:pt>
                <c:pt idx="8">
                  <c:v>1990 - 1992</c:v>
                </c:pt>
                <c:pt idx="9">
                  <c:v>1993 - 2000</c:v>
                </c:pt>
                <c:pt idx="10">
                  <c:v>2001 -2005</c:v>
                </c:pt>
                <c:pt idx="11">
                  <c:v>2006 - 2009</c:v>
                </c:pt>
                <c:pt idx="12">
                  <c:v>2010 - 2011 </c:v>
                </c:pt>
                <c:pt idx="13">
                  <c:v>2012 - 2020</c:v>
                </c:pt>
              </c:strCache>
            </c:strRef>
          </c:cat>
          <c:val>
            <c:numRef>
              <c:f>List1!$B$15:$O$15</c:f>
              <c:numCache>
                <c:formatCode>General</c:formatCode>
                <c:ptCount val="14"/>
                <c:pt idx="0">
                  <c:v>50234</c:v>
                </c:pt>
                <c:pt idx="1">
                  <c:v>50876</c:v>
                </c:pt>
                <c:pt idx="2">
                  <c:v>137785</c:v>
                </c:pt>
                <c:pt idx="3">
                  <c:v>186523</c:v>
                </c:pt>
                <c:pt idx="4">
                  <c:v>161747</c:v>
                </c:pt>
                <c:pt idx="5">
                  <c:v>126792</c:v>
                </c:pt>
                <c:pt idx="6">
                  <c:v>22390</c:v>
                </c:pt>
                <c:pt idx="7">
                  <c:v>60000</c:v>
                </c:pt>
                <c:pt idx="8">
                  <c:v>25538</c:v>
                </c:pt>
                <c:pt idx="9">
                  <c:v>44387</c:v>
                </c:pt>
                <c:pt idx="10">
                  <c:v>37921</c:v>
                </c:pt>
                <c:pt idx="11">
                  <c:v>33388</c:v>
                </c:pt>
                <c:pt idx="12">
                  <c:v>18414</c:v>
                </c:pt>
                <c:pt idx="13">
                  <c:v>97434</c:v>
                </c:pt>
              </c:numCache>
            </c:numRef>
          </c:val>
          <c:extLst>
            <c:ext xmlns:c16="http://schemas.microsoft.com/office/drawing/2014/chart" uri="{C3380CC4-5D6E-409C-BE32-E72D297353CC}">
              <c16:uniqueId val="{00000000-89F7-4111-BFE5-EA1337120BA4}"/>
            </c:ext>
          </c:extLst>
        </c:ser>
        <c:dLbls>
          <c:showLegendKey val="0"/>
          <c:showVal val="0"/>
          <c:showCatName val="0"/>
          <c:showSerName val="0"/>
          <c:showPercent val="0"/>
          <c:showBubbleSize val="0"/>
        </c:dLbls>
        <c:gapWidth val="100"/>
        <c:overlap val="-24"/>
        <c:axId val="624103824"/>
        <c:axId val="624093984"/>
      </c:barChart>
      <c:catAx>
        <c:axId val="62410382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Ro</a:t>
                </a:r>
                <a:r>
                  <a:rPr lang="sk-SK"/>
                  <a:t>ky výstavby</a:t>
                </a:r>
                <a:endParaRPr lang="en-US"/>
              </a:p>
            </c:rich>
          </c:tx>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k-SK"/>
            </a:p>
          </c:txPr>
        </c:title>
        <c:numFmt formatCode="General" sourceLinked="1"/>
        <c:majorTickMark val="none"/>
        <c:minorTickMark val="none"/>
        <c:tickLblPos val="low"/>
        <c:spPr>
          <a:noFill/>
          <a:ln w="9525" cap="flat" cmpd="sng" algn="ctr">
            <a:solidFill>
              <a:schemeClr val="tx2">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2"/>
                </a:solidFill>
                <a:latin typeface="+mn-lt"/>
                <a:ea typeface="+mn-ea"/>
                <a:cs typeface="+mn-cs"/>
              </a:defRPr>
            </a:pPr>
            <a:endParaRPr lang="sk-SK"/>
          </a:p>
        </c:txPr>
        <c:crossAx val="624093984"/>
        <c:crosses val="autoZero"/>
        <c:auto val="1"/>
        <c:lblAlgn val="ctr"/>
        <c:lblOffset val="100"/>
        <c:noMultiLvlLbl val="0"/>
      </c:catAx>
      <c:valAx>
        <c:axId val="624093984"/>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sk-SK"/>
                  <a:t>Počet dokončených bytov</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endParaRPr lang="sk-SK"/>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sk-SK"/>
          </a:p>
        </c:txPr>
        <c:crossAx val="6241038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B1B49-87E8-4CB8-BFE4-DEEBB60E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30</Pages>
  <Words>8038</Words>
  <Characters>45823</Characters>
  <Application>Microsoft Office Word</Application>
  <DocSecurity>0</DocSecurity>
  <Lines>381</Lines>
  <Paragraphs>107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Paksi</dc:creator>
  <cp:keywords/>
  <dc:description/>
  <cp:lastModifiedBy>Richard Paksi</cp:lastModifiedBy>
  <cp:revision>13</cp:revision>
  <dcterms:created xsi:type="dcterms:W3CDTF">2021-01-25T13:37:00Z</dcterms:created>
  <dcterms:modified xsi:type="dcterms:W3CDTF">2021-01-27T10:08:00Z</dcterms:modified>
</cp:coreProperties>
</file>