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entury Gothic" w:cs="Century Gothic" w:eastAsia="Century Gothic" w:hAnsi="Century Gothic"/>
          <w:b w:val="1"/>
          <w:sz w:val="44"/>
          <w:szCs w:val="44"/>
        </w:rPr>
      </w:pPr>
      <w:bookmarkStart w:colFirst="0" w:colLast="0" w:name="_regcvmfv2zfv" w:id="0"/>
      <w:bookmarkEnd w:id="0"/>
      <w:r w:rsidDel="00000000" w:rsidR="00000000" w:rsidRPr="00000000">
        <w:rPr>
          <w:rFonts w:ascii="Century Gothic" w:cs="Century Gothic" w:eastAsia="Century Gothic" w:hAnsi="Century Gothic"/>
          <w:b w:val="1"/>
          <w:sz w:val="44"/>
          <w:szCs w:val="44"/>
          <w:rtl w:val="0"/>
        </w:rPr>
        <w:t xml:space="preserve">Brífing: Útoky na financovanie enviro MVO</w:t>
      </w:r>
    </w:p>
    <w:p w:rsidR="00000000" w:rsidDel="00000000" w:rsidP="00000000" w:rsidRDefault="00000000" w:rsidRPr="00000000" w14:paraId="0000000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17. januára 2025</w:t>
      </w:r>
    </w:p>
    <w:p w:rsidR="00000000" w:rsidDel="00000000" w:rsidP="00000000" w:rsidRDefault="00000000" w:rsidRPr="00000000" w14:paraId="00000003">
      <w:pPr>
        <w:pStyle w:val="Heading2"/>
        <w:rPr>
          <w:rFonts w:ascii="Century Gothic" w:cs="Century Gothic" w:eastAsia="Century Gothic" w:hAnsi="Century Gothic"/>
          <w:sz w:val="30"/>
          <w:szCs w:val="30"/>
        </w:rPr>
      </w:pPr>
      <w:bookmarkStart w:colFirst="0" w:colLast="0" w:name="_6es66ez64fj9" w:id="1"/>
      <w:bookmarkEnd w:id="1"/>
      <w:r w:rsidDel="00000000" w:rsidR="00000000" w:rsidRPr="00000000">
        <w:rPr>
          <w:rFonts w:ascii="Century Gothic" w:cs="Century Gothic" w:eastAsia="Century Gothic" w:hAnsi="Century Gothic"/>
          <w:sz w:val="30"/>
          <w:szCs w:val="30"/>
          <w:rtl w:val="0"/>
        </w:rPr>
        <w:t xml:space="preserve">Vyjadrenia ministra Tarabu</w:t>
      </w:r>
    </w:p>
    <w:p w:rsidR="00000000" w:rsidDel="00000000" w:rsidP="00000000" w:rsidRDefault="00000000" w:rsidRPr="00000000" w14:paraId="00000004">
      <w:pPr>
        <w:pStyle w:val="Heading1"/>
        <w:spacing w:after="0" w:line="360" w:lineRule="auto"/>
        <w:rPr>
          <w:rFonts w:ascii="Century Gothic" w:cs="Century Gothic" w:eastAsia="Century Gothic" w:hAnsi="Century Gothic"/>
          <w:i w:val="1"/>
          <w:sz w:val="20"/>
          <w:szCs w:val="20"/>
        </w:rPr>
      </w:pPr>
      <w:bookmarkStart w:colFirst="0" w:colLast="0" w:name="_q9ccs2jvqf7n" w:id="2"/>
      <w:bookmarkEnd w:id="2"/>
      <w:r w:rsidDel="00000000" w:rsidR="00000000" w:rsidRPr="00000000">
        <w:rPr>
          <w:rFonts w:ascii="Century Gothic" w:cs="Century Gothic" w:eastAsia="Century Gothic" w:hAnsi="Century Gothic"/>
          <w:i w:val="1"/>
          <w:sz w:val="20"/>
          <w:szCs w:val="20"/>
          <w:rtl w:val="0"/>
        </w:rPr>
        <w:t xml:space="preserve">„Mňa Budajove, Kičove a ostatné mimovládky absolútne nezaujímajú, ja viem, že tam mali hody na ministerstve, viem, že sú nervózne, že som im nepodpísal 16 miliónov eur na tie ich pseudoprojekty,“ vyhlásil minister Životného prostredia SR Tomáš Taraba (SNS).</w:t>
      </w:r>
    </w:p>
    <w:p w:rsidR="00000000" w:rsidDel="00000000" w:rsidP="00000000" w:rsidRDefault="00000000" w:rsidRPr="00000000" w14:paraId="00000005">
      <w:pPr>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22. apríla 2024, spravy.rtvs.sk</w:t>
      </w:r>
      <w:r w:rsidDel="00000000" w:rsidR="00000000" w:rsidRPr="00000000">
        <w:rPr>
          <w:rtl w:val="0"/>
        </w:rPr>
      </w:r>
    </w:p>
    <w:p w:rsidR="00000000" w:rsidDel="00000000" w:rsidP="00000000" w:rsidRDefault="00000000" w:rsidRPr="00000000" w14:paraId="00000006">
      <w:pPr>
        <w:pStyle w:val="Heading1"/>
        <w:spacing w:after="0" w:line="360" w:lineRule="auto"/>
        <w:rPr>
          <w:rFonts w:ascii="Century Gothic" w:cs="Century Gothic" w:eastAsia="Century Gothic" w:hAnsi="Century Gothic"/>
          <w:i w:val="1"/>
          <w:sz w:val="20"/>
          <w:szCs w:val="20"/>
        </w:rPr>
      </w:pPr>
      <w:bookmarkStart w:colFirst="0" w:colLast="0" w:name="_iw7rlfyir607" w:id="3"/>
      <w:bookmarkEnd w:id="3"/>
      <w:r w:rsidDel="00000000" w:rsidR="00000000" w:rsidRPr="00000000">
        <w:rPr>
          <w:rFonts w:ascii="Century Gothic" w:cs="Century Gothic" w:eastAsia="Century Gothic" w:hAnsi="Century Gothic"/>
          <w:i w:val="1"/>
          <w:sz w:val="20"/>
          <w:szCs w:val="20"/>
          <w:rtl w:val="0"/>
        </w:rPr>
        <w:t xml:space="preserve">“Taraba</w:t>
      </w:r>
      <w:r w:rsidDel="00000000" w:rsidR="00000000" w:rsidRPr="00000000">
        <w:rPr>
          <w:rFonts w:ascii="Century Gothic" w:cs="Century Gothic" w:eastAsia="Century Gothic" w:hAnsi="Century Gothic"/>
          <w:i w:val="1"/>
          <w:sz w:val="20"/>
          <w:szCs w:val="20"/>
          <w:rtl w:val="0"/>
        </w:rPr>
        <w:t xml:space="preserve"> reagoval, že mimovládne organizácie si za uplynulé roky rozdelili na ministerstve 60 miliónov eur.”</w:t>
      </w:r>
    </w:p>
    <w:p w:rsidR="00000000" w:rsidDel="00000000" w:rsidP="00000000" w:rsidRDefault="00000000" w:rsidRPr="00000000" w14:paraId="00000007">
      <w:pPr>
        <w:jc w:val="righ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2. augusta 2024, TASR</w:t>
      </w:r>
      <w:r w:rsidDel="00000000" w:rsidR="00000000" w:rsidRPr="00000000">
        <w:rPr>
          <w:rtl w:val="0"/>
        </w:rPr>
      </w:r>
    </w:p>
    <w:p w:rsidR="00000000" w:rsidDel="00000000" w:rsidP="00000000" w:rsidRDefault="00000000" w:rsidRPr="00000000" w14:paraId="00000008">
      <w:pPr>
        <w:pStyle w:val="Heading1"/>
        <w:spacing w:after="0" w:line="360" w:lineRule="auto"/>
        <w:rPr>
          <w:rFonts w:ascii="Century Gothic" w:cs="Century Gothic" w:eastAsia="Century Gothic" w:hAnsi="Century Gothic"/>
          <w:i w:val="1"/>
          <w:sz w:val="20"/>
          <w:szCs w:val="20"/>
        </w:rPr>
      </w:pPr>
      <w:bookmarkStart w:colFirst="0" w:colLast="0" w:name="_ryoi40loepb2" w:id="4"/>
      <w:bookmarkEnd w:id="4"/>
      <w:r w:rsidDel="00000000" w:rsidR="00000000" w:rsidRPr="00000000">
        <w:rPr>
          <w:rFonts w:ascii="Century Gothic" w:cs="Century Gothic" w:eastAsia="Century Gothic" w:hAnsi="Century Gothic"/>
          <w:i w:val="1"/>
          <w:sz w:val="20"/>
          <w:szCs w:val="20"/>
          <w:rtl w:val="0"/>
        </w:rPr>
        <w:t xml:space="preserve">“Za rovnako zbytočné považuje projekty mimovládnych organizácií, kde si päť mimovládok rozdelilo 64 miliónov eur.”</w:t>
      </w:r>
    </w:p>
    <w:p w:rsidR="00000000" w:rsidDel="00000000" w:rsidP="00000000" w:rsidRDefault="00000000" w:rsidRPr="00000000" w14:paraId="00000009">
      <w:pPr>
        <w:pStyle w:val="Heading1"/>
        <w:spacing w:after="0" w:before="0" w:line="360" w:lineRule="auto"/>
        <w:jc w:val="right"/>
        <w:rPr>
          <w:rFonts w:ascii="Century Gothic" w:cs="Century Gothic" w:eastAsia="Century Gothic" w:hAnsi="Century Gothic"/>
          <w:sz w:val="18"/>
          <w:szCs w:val="18"/>
        </w:rPr>
      </w:pPr>
      <w:bookmarkStart w:colFirst="0" w:colLast="0" w:name="_zgm7fz35e9gb" w:id="5"/>
      <w:bookmarkEnd w:id="5"/>
      <w:r w:rsidDel="00000000" w:rsidR="00000000" w:rsidRPr="00000000">
        <w:rPr>
          <w:rFonts w:ascii="Century Gothic" w:cs="Century Gothic" w:eastAsia="Century Gothic" w:hAnsi="Century Gothic"/>
          <w:sz w:val="18"/>
          <w:szCs w:val="18"/>
          <w:rtl w:val="0"/>
        </w:rPr>
        <w:t xml:space="preserve">5. októbra 2024 TASR</w:t>
      </w:r>
    </w:p>
    <w:p w:rsidR="00000000" w:rsidDel="00000000" w:rsidP="00000000" w:rsidRDefault="00000000" w:rsidRPr="00000000" w14:paraId="0000000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spacing w:line="360" w:lineRule="auto"/>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“Podpredseda vlády a minister životného prostredia SR Tomáš </w:t>
      </w:r>
      <w:r w:rsidDel="00000000" w:rsidR="00000000" w:rsidRPr="00000000">
        <w:rPr>
          <w:rFonts w:ascii="Century Gothic" w:cs="Century Gothic" w:eastAsia="Century Gothic" w:hAnsi="Century Gothic"/>
          <w:i w:val="1"/>
          <w:sz w:val="20"/>
          <w:szCs w:val="20"/>
          <w:rtl w:val="0"/>
        </w:rPr>
        <w:t xml:space="preserve">Taraba </w:t>
      </w:r>
      <w:r w:rsidDel="00000000" w:rsidR="00000000" w:rsidRPr="00000000">
        <w:rPr>
          <w:rFonts w:ascii="Century Gothic" w:cs="Century Gothic" w:eastAsia="Century Gothic" w:hAnsi="Century Gothic"/>
          <w:i w:val="1"/>
          <w:sz w:val="20"/>
          <w:szCs w:val="20"/>
          <w:rtl w:val="0"/>
        </w:rPr>
        <w:t xml:space="preserve">zdôraznil, že prioritou je podpora škôl pred mimovládnymi organizáciami, ktoré si v minulých rokoch rozdelili z ministerstva desiatky </w:t>
      </w:r>
      <w:r w:rsidDel="00000000" w:rsidR="00000000" w:rsidRPr="00000000">
        <w:rPr>
          <w:rFonts w:ascii="Century Gothic" w:cs="Century Gothic" w:eastAsia="Century Gothic" w:hAnsi="Century Gothic"/>
          <w:i w:val="1"/>
          <w:sz w:val="20"/>
          <w:szCs w:val="20"/>
          <w:rtl w:val="0"/>
        </w:rPr>
        <w:t xml:space="preserve">miliónov</w:t>
      </w:r>
      <w:r w:rsidDel="00000000" w:rsidR="00000000" w:rsidRPr="00000000">
        <w:rPr>
          <w:rFonts w:ascii="Century Gothic" w:cs="Century Gothic" w:eastAsia="Century Gothic" w:hAnsi="Century Gothic"/>
          <w:i w:val="1"/>
          <w:sz w:val="20"/>
          <w:szCs w:val="20"/>
          <w:rtl w:val="0"/>
        </w:rPr>
        <w:t xml:space="preserve"> eur.”</w:t>
      </w:r>
    </w:p>
    <w:p w:rsidR="00000000" w:rsidDel="00000000" w:rsidP="00000000" w:rsidRDefault="00000000" w:rsidRPr="00000000" w14:paraId="0000000C">
      <w:pPr>
        <w:spacing w:line="360" w:lineRule="auto"/>
        <w:jc w:val="right"/>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29.novembra 2024 SITA</w:t>
      </w:r>
    </w:p>
    <w:p w:rsidR="00000000" w:rsidDel="00000000" w:rsidP="00000000" w:rsidRDefault="00000000" w:rsidRPr="00000000" w14:paraId="0000000D">
      <w:pPr>
        <w:pStyle w:val="Heading2"/>
        <w:spacing w:line="360" w:lineRule="auto"/>
        <w:rPr>
          <w:rFonts w:ascii="Century Gothic" w:cs="Century Gothic" w:eastAsia="Century Gothic" w:hAnsi="Century Gothic"/>
          <w:sz w:val="30"/>
          <w:szCs w:val="30"/>
        </w:rPr>
      </w:pPr>
      <w:bookmarkStart w:colFirst="0" w:colLast="0" w:name="_271d0wwrlm5n" w:id="6"/>
      <w:bookmarkEnd w:id="6"/>
      <w:r w:rsidDel="00000000" w:rsidR="00000000" w:rsidRPr="00000000">
        <w:rPr>
          <w:rFonts w:ascii="Century Gothic" w:cs="Century Gothic" w:eastAsia="Century Gothic" w:hAnsi="Century Gothic"/>
          <w:sz w:val="30"/>
          <w:szCs w:val="30"/>
          <w:rtl w:val="0"/>
        </w:rPr>
        <w:t xml:space="preserve">Žiadosti o informácie</w:t>
      </w:r>
    </w:p>
    <w:p w:rsidR="00000000" w:rsidDel="00000000" w:rsidP="00000000" w:rsidRDefault="00000000" w:rsidRPr="00000000" w14:paraId="0000000E">
      <w:pPr>
        <w:numPr>
          <w:ilvl w:val="0"/>
          <w:numId w:val="2"/>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Organizácie žiadali ministertsvo o podloženie výroku ministra, že si 5 mimovládnych organizácií rozdelilo 64 miliónov eur presnými dátami. MŽP zamietlo žiadosť s tým, že vo forme, ktorú MVO požadovali, informácie nemá.</w:t>
      </w:r>
    </w:p>
    <w:p w:rsidR="00000000" w:rsidDel="00000000" w:rsidP="00000000" w:rsidRDefault="00000000" w:rsidRPr="00000000" w14:paraId="0000000F">
      <w:pPr>
        <w:numPr>
          <w:ilvl w:val="0"/>
          <w:numId w:val="2"/>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Organizácie si vyžiadali zoznam všetkých podporených projektov MVO cez MŽP aj Envirofond za desať rokov. Informácie zverejnené MŽP obsahujú zoznam projektov, ktoré sú dokopy v hodnote 53 miliónov eur.</w:t>
      </w:r>
    </w:p>
    <w:p w:rsidR="00000000" w:rsidDel="00000000" w:rsidP="00000000" w:rsidRDefault="00000000" w:rsidRPr="00000000" w14:paraId="00000010">
      <w:pPr>
        <w:numPr>
          <w:ilvl w:val="0"/>
          <w:numId w:val="2"/>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Organizácie požiadali opäť o informáciu, akých 5 MVO si rozdelilo na aké projekty za 64 miliónov eur financie v inej forme, ktorú by ministerstvo mohlo mať. Na žiadosť o informácie nedošla odpoveď ani po poslaní rozkladu.</w:t>
      </w:r>
    </w:p>
    <w:p w:rsidR="00000000" w:rsidDel="00000000" w:rsidP="00000000" w:rsidRDefault="00000000" w:rsidRPr="00000000" w14:paraId="00000011">
      <w:pPr>
        <w:pStyle w:val="Heading2"/>
        <w:spacing w:line="360" w:lineRule="auto"/>
        <w:rPr>
          <w:rFonts w:ascii="Century Gothic" w:cs="Century Gothic" w:eastAsia="Century Gothic" w:hAnsi="Century Gothic"/>
          <w:sz w:val="30"/>
          <w:szCs w:val="30"/>
        </w:rPr>
      </w:pPr>
      <w:bookmarkStart w:colFirst="0" w:colLast="0" w:name="_lj829jfw4i01" w:id="7"/>
      <w:bookmarkEnd w:id="7"/>
      <w:r w:rsidDel="00000000" w:rsidR="00000000" w:rsidRPr="00000000">
        <w:rPr>
          <w:rFonts w:ascii="Century Gothic" w:cs="Century Gothic" w:eastAsia="Century Gothic" w:hAnsi="Century Gothic"/>
          <w:sz w:val="30"/>
          <w:szCs w:val="30"/>
          <w:rtl w:val="0"/>
        </w:rPr>
        <w:t xml:space="preserve">Prehľad financií do MVO z rôznych fondov </w:t>
      </w:r>
    </w:p>
    <w:p w:rsidR="00000000" w:rsidDel="00000000" w:rsidP="00000000" w:rsidRDefault="00000000" w:rsidRPr="00000000" w14:paraId="00000012">
      <w:pPr>
        <w:rPr/>
      </w:pPr>
      <w:r w:rsidDel="00000000" w:rsidR="00000000" w:rsidRPr="00000000">
        <w:rPr>
          <w:rtl w:val="0"/>
        </w:rPr>
        <w:t xml:space="preserve">Financie za posledných 10 rokov.</w:t>
      </w:r>
    </w:p>
    <w:p w:rsidR="00000000" w:rsidDel="00000000" w:rsidP="00000000" w:rsidRDefault="00000000" w:rsidRPr="00000000" w14:paraId="00000013">
      <w:pPr>
        <w:rPr/>
      </w:pPr>
      <w:r w:rsidDel="00000000" w:rsidR="00000000" w:rsidRPr="00000000">
        <w:rPr>
          <w:rtl w:val="0"/>
        </w:rPr>
      </w:r>
    </w:p>
    <w:tbl>
      <w:tblPr>
        <w:tblStyle w:val="Table1"/>
        <w:tblW w:w="8465.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3365"/>
        <w:gridCol w:w="1985"/>
        <w:gridCol w:w="1955"/>
        <w:gridCol w:w="1160"/>
        <w:tblGridChange w:id="0">
          <w:tblGrid>
            <w:gridCol w:w="3365"/>
            <w:gridCol w:w="1985"/>
            <w:gridCol w:w="1955"/>
            <w:gridCol w:w="1160"/>
          </w:tblGrid>
        </w:tblGridChange>
      </w:tblGrid>
      <w:tr>
        <w:trPr>
          <w:cantSplit w:val="0"/>
          <w:trHeight w:val="75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Fond</w:t>
            </w:r>
          </w:p>
        </w:tc>
        <w:tc>
          <w:tcPr>
            <w:tcMar>
              <w:top w:w="100.0" w:type="dxa"/>
              <w:left w:w="100.0" w:type="dxa"/>
              <w:bottom w:w="100.0" w:type="dxa"/>
              <w:right w:w="100.0" w:type="dxa"/>
            </w:tcMar>
            <w:vAlign w:val="top"/>
          </w:tcPr>
          <w:p w:rsidR="00000000" w:rsidDel="00000000" w:rsidP="00000000" w:rsidRDefault="00000000" w:rsidRPr="00000000" w14:paraId="0000001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Celková alokácia </w:t>
            </w:r>
          </w:p>
        </w:tc>
        <w:tc>
          <w:tcPr>
            <w:tcMar>
              <w:top w:w="100.0" w:type="dxa"/>
              <w:left w:w="100.0" w:type="dxa"/>
              <w:bottom w:w="100.0" w:type="dxa"/>
              <w:right w:w="100.0" w:type="dxa"/>
            </w:tcMar>
            <w:vAlign w:val="top"/>
          </w:tcPr>
          <w:p w:rsidR="00000000" w:rsidDel="00000000" w:rsidP="00000000" w:rsidRDefault="00000000" w:rsidRPr="00000000" w14:paraId="0000001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Podpora pre MVO</w:t>
            </w:r>
          </w:p>
        </w:tc>
        <w:tc>
          <w:tcPr>
            <w:tcMar>
              <w:top w:w="100.0" w:type="dxa"/>
              <w:left w:w="100.0" w:type="dxa"/>
              <w:bottom w:w="100.0" w:type="dxa"/>
              <w:right w:w="100.0" w:type="dxa"/>
            </w:tcMar>
            <w:vAlign w:val="top"/>
          </w:tcPr>
          <w:p w:rsidR="00000000" w:rsidDel="00000000" w:rsidP="00000000" w:rsidRDefault="00000000" w:rsidRPr="00000000" w14:paraId="0000001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Podiel</w:t>
            </w:r>
          </w:p>
        </w:tc>
      </w:tr>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Operačný program Kvalita životného prostredia (EŠIF)</w:t>
            </w:r>
          </w:p>
        </w:tc>
        <w:tc>
          <w:tcPr>
            <w:tcMar>
              <w:top w:w="100.0" w:type="dxa"/>
              <w:left w:w="100.0" w:type="dxa"/>
              <w:bottom w:w="100.0" w:type="dxa"/>
              <w:right w:w="100.0" w:type="dxa"/>
            </w:tcMar>
            <w:vAlign w:val="top"/>
          </w:tcPr>
          <w:p w:rsidR="00000000" w:rsidDel="00000000" w:rsidP="00000000" w:rsidRDefault="00000000" w:rsidRPr="00000000" w14:paraId="0000001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2 832 531 290 €</w:t>
            </w:r>
          </w:p>
        </w:tc>
        <w:tc>
          <w:tcPr>
            <w:tcMar>
              <w:top w:w="100.0" w:type="dxa"/>
              <w:left w:w="100.0" w:type="dxa"/>
              <w:bottom w:w="100.0" w:type="dxa"/>
              <w:right w:w="100.0" w:type="dxa"/>
            </w:tcMar>
            <w:vAlign w:val="top"/>
          </w:tcPr>
          <w:p w:rsidR="00000000" w:rsidDel="00000000" w:rsidP="00000000" w:rsidRDefault="00000000" w:rsidRPr="00000000" w14:paraId="0000001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10 286 059 €</w:t>
            </w:r>
          </w:p>
        </w:tc>
        <w:tc>
          <w:tcPr>
            <w:tcMar>
              <w:top w:w="100.0" w:type="dxa"/>
              <w:left w:w="100.0" w:type="dxa"/>
              <w:bottom w:w="100.0" w:type="dxa"/>
              <w:right w:w="100.0" w:type="dxa"/>
            </w:tcMar>
            <w:vAlign w:val="top"/>
          </w:tcPr>
          <w:p w:rsidR="00000000" w:rsidDel="00000000" w:rsidP="00000000" w:rsidRDefault="00000000" w:rsidRPr="00000000" w14:paraId="0000001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0,36%</w:t>
            </w:r>
          </w:p>
        </w:tc>
      </w:tr>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Plán obnovy a odolnosti: Zelená ekonomika</w:t>
            </w:r>
          </w:p>
        </w:tc>
        <w:tc>
          <w:tcPr>
            <w:tcMar>
              <w:top w:w="100.0" w:type="dxa"/>
              <w:left w:w="100.0" w:type="dxa"/>
              <w:bottom w:w="100.0" w:type="dxa"/>
              <w:right w:w="100.0" w:type="dxa"/>
            </w:tcMar>
            <w:vAlign w:val="top"/>
          </w:tcPr>
          <w:p w:rsidR="00000000" w:rsidDel="00000000" w:rsidP="00000000" w:rsidRDefault="00000000" w:rsidRPr="00000000" w14:paraId="0000001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2 103 000 000 €</w:t>
            </w:r>
          </w:p>
        </w:tc>
        <w:tc>
          <w:tcPr>
            <w:tcMar>
              <w:top w:w="100.0" w:type="dxa"/>
              <w:left w:w="100.0" w:type="dxa"/>
              <w:bottom w:w="100.0" w:type="dxa"/>
              <w:right w:w="100.0" w:type="dxa"/>
            </w:tcMar>
            <w:vAlign w:val="top"/>
          </w:tcPr>
          <w:p w:rsidR="00000000" w:rsidDel="00000000" w:rsidP="00000000" w:rsidRDefault="00000000" w:rsidRPr="00000000" w14:paraId="0000001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3 239 247 €</w:t>
            </w:r>
          </w:p>
        </w:tc>
        <w:tc>
          <w:tcPr>
            <w:tcMar>
              <w:top w:w="100.0" w:type="dxa"/>
              <w:left w:w="100.0" w:type="dxa"/>
              <w:bottom w:w="100.0" w:type="dxa"/>
              <w:right w:w="100.0" w:type="dxa"/>
            </w:tcMar>
            <w:vAlign w:val="top"/>
          </w:tcPr>
          <w:p w:rsidR="00000000" w:rsidDel="00000000" w:rsidP="00000000" w:rsidRDefault="00000000" w:rsidRPr="00000000" w14:paraId="0000001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0,15%</w:t>
            </w:r>
          </w:p>
        </w:tc>
      </w:tr>
      <w:tr>
        <w:trPr>
          <w:cantSplit w:val="0"/>
          <w:trHeight w:val="4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Envirofond (za roky 2017-2022)</w:t>
            </w:r>
          </w:p>
        </w:tc>
        <w:tc>
          <w:tcPr>
            <w:tcMar>
              <w:top w:w="100.0" w:type="dxa"/>
              <w:left w:w="100.0" w:type="dxa"/>
              <w:bottom w:w="100.0" w:type="dxa"/>
              <w:right w:w="100.0" w:type="dxa"/>
            </w:tcMar>
            <w:vAlign w:val="top"/>
          </w:tcPr>
          <w:p w:rsidR="00000000" w:rsidDel="00000000" w:rsidP="00000000" w:rsidRDefault="00000000" w:rsidRPr="00000000" w14:paraId="0000002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644 259 388 €</w:t>
            </w:r>
          </w:p>
        </w:tc>
        <w:tc>
          <w:tcPr>
            <w:tcMar>
              <w:top w:w="100.0" w:type="dxa"/>
              <w:left w:w="100.0" w:type="dxa"/>
              <w:bottom w:w="100.0" w:type="dxa"/>
              <w:right w:w="100.0" w:type="dxa"/>
            </w:tcMar>
            <w:vAlign w:val="top"/>
          </w:tcPr>
          <w:p w:rsidR="00000000" w:rsidDel="00000000" w:rsidP="00000000" w:rsidRDefault="00000000" w:rsidRPr="00000000" w14:paraId="0000002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2 152 775 €</w:t>
            </w:r>
          </w:p>
        </w:tc>
        <w:tc>
          <w:tcPr>
            <w:tcMar>
              <w:top w:w="100.0" w:type="dxa"/>
              <w:left w:w="100.0" w:type="dxa"/>
              <w:bottom w:w="100.0" w:type="dxa"/>
              <w:right w:w="100.0" w:type="dxa"/>
            </w:tcMar>
            <w:vAlign w:val="top"/>
          </w:tcPr>
          <w:p w:rsidR="00000000" w:rsidDel="00000000" w:rsidP="00000000" w:rsidRDefault="00000000" w:rsidRPr="00000000" w14:paraId="0000002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0,33%</w:t>
            </w:r>
          </w:p>
        </w:tc>
      </w:tr>
      <w:tr>
        <w:trPr>
          <w:cantSplit w:val="0"/>
          <w:trHeight w:val="4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Projekty LIFE (2014-2020)</w:t>
            </w:r>
          </w:p>
        </w:tc>
        <w:tc>
          <w:tcPr>
            <w:tcMar>
              <w:top w:w="100.0" w:type="dxa"/>
              <w:left w:w="100.0" w:type="dxa"/>
              <w:bottom w:w="100.0" w:type="dxa"/>
              <w:right w:w="100.0" w:type="dxa"/>
            </w:tcMar>
            <w:vAlign w:val="top"/>
          </w:tcPr>
          <w:p w:rsidR="00000000" w:rsidDel="00000000" w:rsidP="00000000" w:rsidRDefault="00000000" w:rsidRPr="00000000" w14:paraId="0000002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68 643 827 €</w:t>
            </w:r>
          </w:p>
        </w:tc>
        <w:tc>
          <w:tcPr>
            <w:tcMar>
              <w:top w:w="100.0" w:type="dxa"/>
              <w:left w:w="100.0" w:type="dxa"/>
              <w:bottom w:w="100.0" w:type="dxa"/>
              <w:right w:w="100.0" w:type="dxa"/>
            </w:tcMar>
            <w:vAlign w:val="top"/>
          </w:tcPr>
          <w:p w:rsidR="00000000" w:rsidDel="00000000" w:rsidP="00000000" w:rsidRDefault="00000000" w:rsidRPr="00000000" w14:paraId="0000002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36 240 652 €</w:t>
            </w:r>
          </w:p>
        </w:tc>
        <w:tc>
          <w:tcPr>
            <w:tcMar>
              <w:top w:w="100.0" w:type="dxa"/>
              <w:left w:w="100.0" w:type="dxa"/>
              <w:bottom w:w="100.0" w:type="dxa"/>
              <w:right w:w="100.0" w:type="dxa"/>
            </w:tcMar>
            <w:vAlign w:val="top"/>
          </w:tcPr>
          <w:p w:rsidR="00000000" w:rsidDel="00000000" w:rsidP="00000000" w:rsidRDefault="00000000" w:rsidRPr="00000000" w14:paraId="0000002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52,80 %</w:t>
            </w:r>
          </w:p>
        </w:tc>
      </w:tr>
      <w:tr>
        <w:trPr>
          <w:cantSplit w:val="0"/>
          <w:trHeight w:val="135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SK Klíma (Nórsky finančný mechanizmus + Finančný mechanizmus EHP + Štátny rozpočet SR)</w:t>
            </w:r>
          </w:p>
        </w:tc>
        <w:tc>
          <w:tcPr>
            <w:tcMar>
              <w:top w:w="100.0" w:type="dxa"/>
              <w:left w:w="100.0" w:type="dxa"/>
              <w:bottom w:w="100.0" w:type="dxa"/>
              <w:right w:w="100.0" w:type="dxa"/>
            </w:tcMar>
            <w:vAlign w:val="top"/>
          </w:tcPr>
          <w:p w:rsidR="00000000" w:rsidDel="00000000" w:rsidP="00000000" w:rsidRDefault="00000000" w:rsidRPr="00000000" w14:paraId="0000002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23 960 000 €</w:t>
            </w:r>
          </w:p>
        </w:tc>
        <w:tc>
          <w:tcPr>
            <w:tcMar>
              <w:top w:w="100.0" w:type="dxa"/>
              <w:left w:w="100.0" w:type="dxa"/>
              <w:bottom w:w="100.0" w:type="dxa"/>
              <w:right w:w="100.0" w:type="dxa"/>
            </w:tcMar>
            <w:vAlign w:val="top"/>
          </w:tcPr>
          <w:p w:rsidR="00000000" w:rsidDel="00000000" w:rsidP="00000000" w:rsidRDefault="00000000" w:rsidRPr="00000000" w14:paraId="0000002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1 312 602 €</w:t>
            </w:r>
          </w:p>
        </w:tc>
        <w:tc>
          <w:tcPr>
            <w:tcMar>
              <w:top w:w="100.0" w:type="dxa"/>
              <w:left w:w="100.0" w:type="dxa"/>
              <w:bottom w:w="100.0" w:type="dxa"/>
              <w:right w:w="100.0" w:type="dxa"/>
            </w:tcMar>
            <w:vAlign w:val="top"/>
          </w:tcPr>
          <w:p w:rsidR="00000000" w:rsidDel="00000000" w:rsidP="00000000" w:rsidRDefault="00000000" w:rsidRPr="00000000" w14:paraId="0000002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5,48 %</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C">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Spolu</w:t>
            </w:r>
          </w:p>
        </w:tc>
        <w:tc>
          <w:tcPr>
            <w:tcMar>
              <w:top w:w="100.0" w:type="dxa"/>
              <w:left w:w="100.0" w:type="dxa"/>
              <w:bottom w:w="100.0" w:type="dxa"/>
              <w:right w:w="100.0" w:type="dxa"/>
            </w:tcMar>
            <w:vAlign w:val="top"/>
          </w:tcPr>
          <w:p w:rsidR="00000000" w:rsidDel="00000000" w:rsidP="00000000" w:rsidRDefault="00000000" w:rsidRPr="00000000" w14:paraId="0000002D">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5 672 394 505 €</w:t>
            </w:r>
          </w:p>
        </w:tc>
        <w:tc>
          <w:tcPr>
            <w:tcMar>
              <w:top w:w="100.0" w:type="dxa"/>
              <w:left w:w="100.0" w:type="dxa"/>
              <w:bottom w:w="100.0" w:type="dxa"/>
              <w:right w:w="100.0" w:type="dxa"/>
            </w:tcMar>
            <w:vAlign w:val="top"/>
          </w:tcPr>
          <w:p w:rsidR="00000000" w:rsidDel="00000000" w:rsidP="00000000" w:rsidRDefault="00000000" w:rsidRPr="00000000" w14:paraId="0000002E">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53 231 335 €</w:t>
            </w:r>
          </w:p>
        </w:tc>
        <w:tc>
          <w:tcPr>
            <w:tcMar>
              <w:top w:w="100.0" w:type="dxa"/>
              <w:left w:w="100.0" w:type="dxa"/>
              <w:bottom w:w="100.0" w:type="dxa"/>
              <w:right w:w="100.0" w:type="dxa"/>
            </w:tcMar>
            <w:vAlign w:val="top"/>
          </w:tcPr>
          <w:p w:rsidR="00000000" w:rsidDel="00000000" w:rsidP="00000000" w:rsidRDefault="00000000" w:rsidRPr="00000000" w14:paraId="0000002F">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0,94 %</w:t>
            </w:r>
          </w:p>
        </w:tc>
      </w:tr>
      <w:tr>
        <w:trPr>
          <w:cantSplit w:val="0"/>
          <w:trHeight w:val="4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3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1">
            <w:pPr>
              <w:rPr>
                <w:rFonts w:ascii="Century Gothic" w:cs="Century Gothic" w:eastAsia="Century Gothic" w:hAnsi="Century Gothic"/>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2">
            <w:pPr>
              <w:rPr>
                <w:rFonts w:ascii="Century Gothic" w:cs="Century Gothic" w:eastAsia="Century Gothic" w:hAnsi="Century Gothic"/>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3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Modernizačný fond</w:t>
            </w:r>
          </w:p>
        </w:tc>
        <w:tc>
          <w:tcPr>
            <w:tcMar>
              <w:top w:w="100.0" w:type="dxa"/>
              <w:left w:w="100.0" w:type="dxa"/>
              <w:bottom w:w="100.0" w:type="dxa"/>
              <w:right w:w="100.0" w:type="dxa"/>
            </w:tcMar>
            <w:vAlign w:val="top"/>
          </w:tcPr>
          <w:p w:rsidR="00000000" w:rsidDel="00000000" w:rsidP="00000000" w:rsidRDefault="00000000" w:rsidRPr="00000000" w14:paraId="0000003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3 500 000 000 €</w:t>
            </w:r>
          </w:p>
        </w:tc>
        <w:tc>
          <w:tcPr>
            <w:tcMar>
              <w:top w:w="100.0" w:type="dxa"/>
              <w:left w:w="100.0" w:type="dxa"/>
              <w:bottom w:w="100.0" w:type="dxa"/>
              <w:right w:w="100.0" w:type="dxa"/>
            </w:tcMar>
            <w:vAlign w:val="top"/>
          </w:tcPr>
          <w:p w:rsidR="00000000" w:rsidDel="00000000" w:rsidP="00000000" w:rsidRDefault="00000000" w:rsidRPr="00000000" w14:paraId="0000003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0 €</w:t>
            </w:r>
          </w:p>
        </w:tc>
        <w:tc>
          <w:tcPr>
            <w:tcMar>
              <w:top w:w="100.0" w:type="dxa"/>
              <w:left w:w="100.0" w:type="dxa"/>
              <w:bottom w:w="100.0" w:type="dxa"/>
              <w:right w:w="100.0" w:type="dxa"/>
            </w:tcMar>
            <w:vAlign w:val="top"/>
          </w:tcPr>
          <w:p w:rsidR="00000000" w:rsidDel="00000000" w:rsidP="00000000" w:rsidRDefault="00000000" w:rsidRPr="00000000" w14:paraId="0000003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0,00 %</w:t>
            </w:r>
          </w:p>
        </w:tc>
      </w:tr>
      <w:tr>
        <w:trPr>
          <w:cantSplit w:val="0"/>
          <w:trHeight w:val="4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3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39">
            <w:pPr>
              <w:rPr>
                <w:rFonts w:ascii="Century Gothic" w:cs="Century Gothic" w:eastAsia="Century Gothic" w:hAnsi="Century Gothic"/>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A">
            <w:pPr>
              <w:rPr>
                <w:rFonts w:ascii="Century Gothic" w:cs="Century Gothic" w:eastAsia="Century Gothic" w:hAnsi="Century Gothic"/>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3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Spolu s Modernizačným fondom</w:t>
            </w:r>
          </w:p>
        </w:tc>
        <w:tc>
          <w:tcPr>
            <w:tcMar>
              <w:top w:w="100.0" w:type="dxa"/>
              <w:left w:w="100.0" w:type="dxa"/>
              <w:bottom w:w="100.0" w:type="dxa"/>
              <w:right w:w="100.0" w:type="dxa"/>
            </w:tcMar>
            <w:vAlign w:val="top"/>
          </w:tcPr>
          <w:p w:rsidR="00000000" w:rsidDel="00000000" w:rsidP="00000000" w:rsidRDefault="00000000" w:rsidRPr="00000000" w14:paraId="0000003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9 172 394 505 €</w:t>
            </w:r>
          </w:p>
        </w:tc>
        <w:tc>
          <w:tcPr>
            <w:tcMar>
              <w:top w:w="100.0" w:type="dxa"/>
              <w:left w:w="100.0" w:type="dxa"/>
              <w:bottom w:w="100.0" w:type="dxa"/>
              <w:right w:w="100.0" w:type="dxa"/>
            </w:tcMar>
            <w:vAlign w:val="top"/>
          </w:tcPr>
          <w:p w:rsidR="00000000" w:rsidDel="00000000" w:rsidP="00000000" w:rsidRDefault="00000000" w:rsidRPr="00000000" w14:paraId="0000003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53 231 335 €</w:t>
            </w:r>
          </w:p>
        </w:tc>
        <w:tc>
          <w:tcPr>
            <w:tcMar>
              <w:top w:w="100.0" w:type="dxa"/>
              <w:left w:w="100.0" w:type="dxa"/>
              <w:bottom w:w="100.0" w:type="dxa"/>
              <w:right w:w="100.0" w:type="dxa"/>
            </w:tcMar>
            <w:vAlign w:val="top"/>
          </w:tcPr>
          <w:p w:rsidR="00000000" w:rsidDel="00000000" w:rsidP="00000000" w:rsidRDefault="00000000" w:rsidRPr="00000000" w14:paraId="0000003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0,58 %</w:t>
            </w:r>
          </w:p>
        </w:tc>
      </w:tr>
    </w:tbl>
    <w:p w:rsidR="00000000" w:rsidDel="00000000" w:rsidP="00000000" w:rsidRDefault="00000000" w:rsidRPr="00000000" w14:paraId="0000004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Zdroj: Vlastné spracovanie na základe údajov Ministerstva životného prostredia SR, Envirofondu, NIKA </w:t>
        <w:br w:type="textWrapping"/>
        <w:t xml:space="preserve">Poznámka. Po započítaní Modernizačného fondu by išlo o 0,58 % pre mimovládne neziskové organizácie.</w:t>
      </w:r>
    </w:p>
    <w:p w:rsidR="00000000" w:rsidDel="00000000" w:rsidP="00000000" w:rsidRDefault="00000000" w:rsidRPr="00000000" w14:paraId="00000042">
      <w:pPr>
        <w:pStyle w:val="Heading2"/>
        <w:rPr>
          <w:rFonts w:ascii="Century Gothic" w:cs="Century Gothic" w:eastAsia="Century Gothic" w:hAnsi="Century Gothic"/>
          <w:sz w:val="20"/>
          <w:szCs w:val="20"/>
        </w:rPr>
      </w:pPr>
      <w:bookmarkStart w:colFirst="0" w:colLast="0" w:name="_3mmkkm1s923i" w:id="8"/>
      <w:bookmarkEnd w:id="8"/>
      <w:r w:rsidDel="00000000" w:rsidR="00000000" w:rsidRPr="00000000">
        <w:rPr>
          <w:rFonts w:ascii="Century Gothic" w:cs="Century Gothic" w:eastAsia="Century Gothic" w:hAnsi="Century Gothic"/>
          <w:sz w:val="30"/>
          <w:szCs w:val="30"/>
          <w:rtl w:val="0"/>
        </w:rPr>
        <w:t xml:space="preserve">Problémy envirorezortu</w:t>
      </w:r>
      <w:r w:rsidDel="00000000" w:rsidR="00000000" w:rsidRPr="00000000">
        <w:rPr>
          <w:rtl w:val="0"/>
        </w:rPr>
      </w:r>
    </w:p>
    <w:p w:rsidR="00000000" w:rsidDel="00000000" w:rsidP="00000000" w:rsidRDefault="00000000" w:rsidRPr="00000000" w14:paraId="00000043">
      <w:pPr>
        <w:numPr>
          <w:ilvl w:val="0"/>
          <w:numId w:val="1"/>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Problémy s Plánom obnovy a odolnosti - najnovšie strata vyše 300 miliónov eur</w:t>
      </w:r>
    </w:p>
    <w:p w:rsidR="00000000" w:rsidDel="00000000" w:rsidP="00000000" w:rsidRDefault="00000000" w:rsidRPr="00000000" w14:paraId="00000044">
      <w:pPr>
        <w:numPr>
          <w:ilvl w:val="0"/>
          <w:numId w:val="1"/>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znefunkčňovanie štátnej pchrany prírody</w:t>
      </w:r>
    </w:p>
    <w:p w:rsidR="00000000" w:rsidDel="00000000" w:rsidP="00000000" w:rsidRDefault="00000000" w:rsidRPr="00000000" w14:paraId="00000045">
      <w:pPr>
        <w:numPr>
          <w:ilvl w:val="0"/>
          <w:numId w:val="1"/>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neriešenie a zľahčovanie klimatickej zmeny</w:t>
      </w:r>
    </w:p>
    <w:p w:rsidR="00000000" w:rsidDel="00000000" w:rsidP="00000000" w:rsidRDefault="00000000" w:rsidRPr="00000000" w14:paraId="00000046">
      <w:pPr>
        <w:numPr>
          <w:ilvl w:val="0"/>
          <w:numId w:val="1"/>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deštrukcia biodiverzity</w:t>
      </w:r>
    </w:p>
    <w:p w:rsidR="00000000" w:rsidDel="00000000" w:rsidP="00000000" w:rsidRDefault="00000000" w:rsidRPr="00000000" w14:paraId="00000047">
      <w:pPr>
        <w:numPr>
          <w:ilvl w:val="0"/>
          <w:numId w:val="1"/>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legislatívne zmeny na ľahšie povoľovanie a uskutočňovanie činností v rozpore s ochranou životného prostredia</w:t>
      </w:r>
    </w:p>
    <w:p w:rsidR="00000000" w:rsidDel="00000000" w:rsidP="00000000" w:rsidRDefault="00000000" w:rsidRPr="00000000" w14:paraId="00000048">
      <w:pPr>
        <w:numPr>
          <w:ilvl w:val="0"/>
          <w:numId w:val="1"/>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vytváranie falošného nepriateľa (MVO)</w:t>
      </w:r>
    </w:p>
    <w:p w:rsidR="00000000" w:rsidDel="00000000" w:rsidP="00000000" w:rsidRDefault="00000000" w:rsidRPr="00000000" w14:paraId="00000049">
      <w:pPr>
        <w:numPr>
          <w:ilvl w:val="0"/>
          <w:numId w:val="1"/>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neodborná reprezentácia rezortu (štátni tajomníci, minister)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