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EA" w:rsidRDefault="006537EA">
      <w:pPr>
        <w:pStyle w:val="normal0"/>
        <w:rPr>
          <w:b/>
          <w:bCs/>
        </w:rPr>
      </w:pPr>
      <w:r>
        <w:rPr>
          <w:b/>
          <w:bCs/>
        </w:rPr>
        <w:t>Hromadná pripomienka k návrhu na zriadenie Rady vlády SR pre udržateľný rozvoj a jeho financovanie</w:t>
      </w:r>
    </w:p>
    <w:p w:rsidR="006537EA" w:rsidRDefault="006537EA">
      <w:pPr>
        <w:pStyle w:val="normal0"/>
        <w:rPr>
          <w:b/>
          <w:bCs/>
        </w:rPr>
      </w:pPr>
    </w:p>
    <w:p w:rsidR="006537EA" w:rsidRDefault="006537EA">
      <w:pPr>
        <w:pStyle w:val="normal0"/>
      </w:pPr>
      <w:r>
        <w:t>Predkladáme hromadnú pripomienku verejnosti k iniciatívnemu materiálu vlády SR (rezortné číslo: 20703/5429/2024/ISA)</w:t>
      </w:r>
    </w:p>
    <w:p w:rsidR="006537EA" w:rsidRDefault="006537EA">
      <w:pPr>
        <w:pStyle w:val="normal0"/>
      </w:pPr>
      <w:r>
        <w:rPr>
          <w:b/>
          <w:bCs/>
        </w:rPr>
        <w:t>Návrh na zriadenie Rady vlády Slovenskej republiky pre udržateľný rozvoj a jeho financovanie</w:t>
      </w:r>
      <w:r>
        <w:t>,</w:t>
      </w:r>
    </w:p>
    <w:p w:rsidR="006537EA" w:rsidRDefault="006537EA">
      <w:pPr>
        <w:pStyle w:val="normal0"/>
      </w:pPr>
      <w:r>
        <w:t xml:space="preserve">ktorý bol uverejnený na právnom portáli Slov-Lex dňa 16. 9. 2024 - </w:t>
      </w:r>
      <w:hyperlink r:id="rId5">
        <w:r>
          <w:rPr>
            <w:color w:val="0000FF"/>
            <w:u w:val="single"/>
          </w:rPr>
          <w:t>https://www.slov-lex.sk/legislativne-procesy/SK/LP/2024/483</w:t>
        </w:r>
      </w:hyperlink>
      <w:r>
        <w:t>.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>Návrh (cit.) „vychádza z potreby racionalizácie a optimalizácie verejnej správy prostredníctvom zlúčenia troch existujúcich poradných orgánov vlády SR, ktoré preukazujú značnú mieru prepojenosti a zhody vo svojom účele, postavení, pôsobnosti a zložení, a to:</w:t>
      </w:r>
    </w:p>
    <w:p w:rsidR="006537EA" w:rsidRDefault="006537EA">
      <w:pPr>
        <w:pStyle w:val="normal0"/>
        <w:numPr>
          <w:ilvl w:val="0"/>
          <w:numId w:val="1"/>
        </w:numPr>
      </w:pPr>
      <w:r>
        <w:t>Rady vlády SR pre Agendu 2030 pre udržateľný rozvoj,</w:t>
      </w:r>
    </w:p>
    <w:p w:rsidR="006537EA" w:rsidRDefault="006537EA">
      <w:pPr>
        <w:pStyle w:val="normal0"/>
        <w:numPr>
          <w:ilvl w:val="0"/>
          <w:numId w:val="1"/>
        </w:numPr>
      </w:pPr>
      <w:r>
        <w:t>Rady vlády SR pre Európsku zelenú dohodu,</w:t>
      </w:r>
    </w:p>
    <w:p w:rsidR="006537EA" w:rsidRDefault="006537EA">
      <w:pPr>
        <w:pStyle w:val="normal0"/>
        <w:numPr>
          <w:ilvl w:val="0"/>
          <w:numId w:val="1"/>
        </w:numPr>
      </w:pPr>
      <w:r>
        <w:t>Rady vlády SR pre Plán obnovy a odolnosti Slovenskej republiky.</w:t>
      </w:r>
    </w:p>
    <w:p w:rsidR="006537EA" w:rsidRDefault="006537EA">
      <w:pPr>
        <w:pStyle w:val="normal0"/>
      </w:pPr>
      <w:r>
        <w:t>Ide o koordinačné, poradné a iniciatívne orgány vlády SR zamerané v rámci svojej pôsobnosti na koordináciu a koherenciu sektorových politík s cieľom zabezpečenia udržateľného rozvoja Slovenskej republiky, a to aj prostredníctvom využitia investícií z Plánu obnovy a odolnosti SR.“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 xml:space="preserve">Súhlasíme s deklarovanou potrebou optimalizácie verejnej správy a zlúčením agendy uvedených v súčasnosti pôsobiacich rád vlády do jedného koordinačného, poradného a iniciatívneho orgánu vlády vo forme vytvorenia navrhovanej Rady vlády SR pre udržateľný rozvoj a jeho financovanie (ďalej „rada“), v zmysle predloženého materiálu. </w:t>
      </w:r>
    </w:p>
    <w:p w:rsidR="006537EA" w:rsidRDefault="006537EA">
      <w:pPr>
        <w:pStyle w:val="normal0"/>
      </w:pPr>
    </w:p>
    <w:p w:rsidR="006537EA" w:rsidRDefault="006537EA">
      <w:pPr>
        <w:pStyle w:val="normal0"/>
        <w:rPr>
          <w:b/>
          <w:bCs/>
        </w:rPr>
      </w:pPr>
      <w:r>
        <w:rPr>
          <w:b/>
          <w:bCs/>
        </w:rPr>
        <w:t>Pripomienka k čl. 4</w:t>
      </w:r>
    </w:p>
    <w:p w:rsidR="006537EA" w:rsidRDefault="006537EA">
      <w:pPr>
        <w:pStyle w:val="normal0"/>
        <w:rPr>
          <w:b/>
          <w:bCs/>
        </w:rPr>
      </w:pPr>
    </w:p>
    <w:p w:rsidR="006537EA" w:rsidRDefault="006537EA">
      <w:pPr>
        <w:pStyle w:val="normal0"/>
      </w:pPr>
      <w:r>
        <w:rPr>
          <w:b/>
          <w:bCs/>
        </w:rPr>
        <w:t>V článku 4 ods. 4 za písmeno ak) sa zaradia  nové písmená al), am), an) v nasledovnom znení</w:t>
      </w:r>
      <w:r>
        <w:t>: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>„al) zástupca platformy organizácií na ochranu klímy Klimatická koalícia</w:t>
      </w:r>
    </w:p>
    <w:p w:rsidR="006537EA" w:rsidRDefault="006537EA">
      <w:pPr>
        <w:pStyle w:val="normal0"/>
      </w:pPr>
      <w:r>
        <w:t xml:space="preserve">am) zástupca siete environmentálne výchovných organizácia Špirála </w:t>
      </w:r>
    </w:p>
    <w:p w:rsidR="006537EA" w:rsidRDefault="006537EA">
      <w:pPr>
        <w:pStyle w:val="normal0"/>
      </w:pPr>
      <w:r>
        <w:t>an) zástupca iniciatívy na ochranu prírody a biodiverzity My sme les”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>Pôvodné písmená al), am), an) sa primerane premenujú.</w:t>
      </w:r>
    </w:p>
    <w:p w:rsidR="006537EA" w:rsidRDefault="006537EA">
      <w:pPr>
        <w:pStyle w:val="normal0"/>
        <w:rPr>
          <w:i/>
          <w:iCs/>
        </w:rPr>
      </w:pPr>
    </w:p>
    <w:p w:rsidR="006537EA" w:rsidRDefault="006537EA">
      <w:pPr>
        <w:pStyle w:val="normal0"/>
      </w:pPr>
      <w:r>
        <w:t>Zároveň navrhujeme, aby vláda vyvážila zastúpenie ekonomickej a environmentálnej sféry nomináciou aspoň 5 ďalších členov/členiek rady zastupujúcich ochranu životného prostredia, či už zo samosprávnych, akademických, biznisových alebo neziskových (napr. odborných) inštitúcií a organizácií.</w:t>
      </w:r>
    </w:p>
    <w:p w:rsidR="006537EA" w:rsidRDefault="006537EA">
      <w:pPr>
        <w:pStyle w:val="normal0"/>
      </w:pPr>
    </w:p>
    <w:p w:rsidR="006537EA" w:rsidRDefault="006537EA">
      <w:pPr>
        <w:pStyle w:val="normal0"/>
        <w:rPr>
          <w:b/>
          <w:bCs/>
        </w:rPr>
      </w:pPr>
      <w:r>
        <w:rPr>
          <w:b/>
          <w:bCs/>
        </w:rPr>
        <w:t>Táto pripomienka je zásadná.</w:t>
      </w:r>
    </w:p>
    <w:p w:rsidR="006537EA" w:rsidRDefault="006537EA">
      <w:pPr>
        <w:pStyle w:val="normal0"/>
        <w:rPr>
          <w:b/>
          <w:bCs/>
        </w:rPr>
      </w:pPr>
    </w:p>
    <w:p w:rsidR="006537EA" w:rsidRDefault="006537EA">
      <w:pPr>
        <w:pStyle w:val="normal0"/>
        <w:rPr>
          <w:b/>
          <w:bCs/>
        </w:rPr>
      </w:pPr>
      <w:r>
        <w:rPr>
          <w:b/>
          <w:bCs/>
        </w:rPr>
        <w:t>Zdôvodnenie:</w:t>
      </w:r>
    </w:p>
    <w:p w:rsidR="006537EA" w:rsidRDefault="006537EA">
      <w:pPr>
        <w:pStyle w:val="normal0"/>
      </w:pPr>
      <w:r>
        <w:t>V zmysle medzinárodne uznávaných princípov a kritérií (trvalo, dlhodobo) udržateľný rozvoj definujú tri piliere: environmentálny, ekonomický a sociálny. Genézu a takmer celý doterajší – odborný aj obsahový – vývoj tohto pojmu prednostne definoval environmentálny pilier, teda problematika ochrany a zveľaďovania životného prostredia ako kľúčový prvok udržateľnosti. Až následne sa začali rozvíjať aj ďalšie dva piliere. Cieľom je, aby boli všetky tri piliere udržateľného rozvoja a im zodpovedajúce zložky života spoločnosti vo vzájomnej rovnováhe a harmónii. Len tak možno zabezpečiť skutočne dlhodobo udržateľný rozvoj spoločnosti.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>Z tohto hľadiska považujeme personálne zloženie rady za silne nevyvážené, a preto nevhodné. Predložený materiál navrhuje takéto zloženie (okrem predsedu a podpredsedov rady):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>18 zástupcov štátnej administratívy, z toho iba jeden s čiastočnou ingerenciou ohľadom ochrany životného prostredia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>2 splnomocnenci vlády (pre občiansku spoločnosť a pre rómske komunity)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 xml:space="preserve">3 zástupcovia územnej samosprávy 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>2 zástupcovia akademickej sféry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>8 zástupcov ekonomickej sféry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>5 zástupcov mimovládnej sféry zastupujúcich rôzne oblasti: odbory (KOZ), mládež (RMS), medzinárodný rozvoj (Ambrela), životné prostredie (Ekofórum – ako jediná environmentálna organizácia) a všeobecne mimovládne neziskové organizácie (Komora MNO rady vlády pre MNO)</w:t>
      </w:r>
    </w:p>
    <w:p w:rsidR="006537EA" w:rsidRDefault="006537EA">
      <w:pPr>
        <w:pStyle w:val="normal0"/>
        <w:numPr>
          <w:ilvl w:val="0"/>
          <w:numId w:val="2"/>
        </w:numPr>
        <w:tabs>
          <w:tab w:val="left" w:pos="540"/>
        </w:tabs>
        <w:ind w:left="540" w:hanging="360"/>
      </w:pPr>
      <w:r>
        <w:t>2 zástupcovia iných rád vlády (pre ľudské práva a pre seniorov)</w:t>
      </w:r>
    </w:p>
    <w:p w:rsidR="006537EA" w:rsidRDefault="006537EA">
      <w:pPr>
        <w:pStyle w:val="normal0"/>
        <w:ind w:left="180"/>
      </w:pPr>
      <w:r>
        <w:t>Spolu 40 ďalších členov a členiek rady.</w:t>
      </w:r>
    </w:p>
    <w:p w:rsidR="006537EA" w:rsidRDefault="006537EA">
      <w:pPr>
        <w:pStyle w:val="normal0"/>
        <w:ind w:left="180"/>
      </w:pPr>
    </w:p>
    <w:p w:rsidR="006537EA" w:rsidRDefault="006537EA">
      <w:pPr>
        <w:pStyle w:val="normal0"/>
      </w:pPr>
      <w:r>
        <w:t xml:space="preserve">Ako je zo zloženia rady zrejmé, priamu odbornú kompetenciu v otázkach životného prostredia majú </w:t>
      </w:r>
      <w:r>
        <w:rPr>
          <w:b/>
          <w:bCs/>
        </w:rPr>
        <w:t>iba dvaja (!)</w:t>
      </w:r>
      <w:r>
        <w:t xml:space="preserve"> ďalší členovia/členky rady, či už zo štátnej alebo neziskovej sféry. Toto považujeme za jednoznačne neprimerané a neprijateľné, keďže ekonomickú sféru priamo reprezentuje 12 zástupcov, teda šesťnásobne viac osôb.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>Zdôrazňujeme existenčnú povahu súčasných environmentálnych problémov: počnúc čiastočne poškodenými až úplne zdevastovanými ekosystémami cez obrovské a ťažko riešiteľné staré environmentálne záťaže, množstvo a toxicitu produkovaných odpadov, celkovo nízku kvalitu vody, ovzdušia a pôdy až po čoraz častejšie a silnejšie prejavy klimatickej krízy. Pokiaľ nebudeme riešeniu týchto problémov v SR prikladať primeraný význam a vážnosť, a pokiaľ tomu nebude zodpovedať aj politika štátu vrátane personálnej politiky (vo všetkých štátom založených či podporovaných inštitúciách), dôsledky podceňovania environmentálnych aspektov sa nám škaredo vypomstia – o. i. aj v negatívnych dopadoch na ekonomiku a sociálnu sféru, a celkovo vo výraznom znižovaní kvality života ľudí na Slovensku. Napokon, o sile extrémnych prejavov klimatickej krízy v praxi sme sa presvedčili aj pri nedávnych záplavách v našej časti kontinentu. Frekvencia a intenzita týchto prejavov budú s postupujúcou zmenou klímy iba narastať.</w:t>
      </w:r>
    </w:p>
    <w:p w:rsidR="006537EA" w:rsidRDefault="006537EA">
      <w:pPr>
        <w:pStyle w:val="normal0"/>
      </w:pPr>
    </w:p>
    <w:p w:rsidR="006537EA" w:rsidRDefault="006537EA">
      <w:pPr>
        <w:pStyle w:val="normal0"/>
        <w:rPr>
          <w:b/>
          <w:bCs/>
        </w:rPr>
      </w:pPr>
      <w:r>
        <w:rPr>
          <w:b/>
          <w:bCs/>
        </w:rPr>
        <w:t xml:space="preserve">Z týchto dôvodov na seriózne vyváženie (často silne protichodných) záujmov ekonomiky a ochrany životného prostredia navrhujeme doplniť zloženie ďalších členov rady aspoň o troch nami navrhovaných konkrétnych zástupcov mimovládnej environmentálnej sféry a piatich iných zástupcov inštitúcií a organizácií zameraných na ochranu životného prostredia. </w:t>
      </w:r>
    </w:p>
    <w:p w:rsidR="006537EA" w:rsidRDefault="006537EA">
      <w:pPr>
        <w:pStyle w:val="normal0"/>
        <w:rPr>
          <w:b/>
          <w:bCs/>
        </w:rPr>
      </w:pPr>
    </w:p>
    <w:p w:rsidR="006537EA" w:rsidRDefault="006537EA">
      <w:pPr>
        <w:pStyle w:val="normal0"/>
        <w:rPr>
          <w:b/>
          <w:bCs/>
        </w:rPr>
      </w:pPr>
    </w:p>
    <w:p w:rsidR="006537EA" w:rsidRDefault="006537EA">
      <w:pPr>
        <w:pStyle w:val="Heading2"/>
        <w:keepNext w:val="0"/>
        <w:shd w:val="clear" w:color="auto" w:fill="FFFFFF"/>
        <w:spacing w:before="0" w:after="80" w:line="317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0" w:name="_heading_h_alnlqrb28yx" w:colFirst="0" w:colLast="0"/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Zástupcovia a zástupkyne verejnosti na ďalší postup s uplatnenou hromadnou pripomienkou:</w:t>
      </w:r>
    </w:p>
    <w:p w:rsidR="006537EA" w:rsidRDefault="006537EA">
      <w:pPr>
        <w:pStyle w:val="normal0"/>
      </w:pPr>
      <w:r>
        <w:t>Marcel Zajac (Ekofórum, predseda Komory mimovládnych neziskových organizácií Rady vlády SR pre mimovládne neziskové organizácie)</w:t>
      </w:r>
    </w:p>
    <w:p w:rsidR="006537EA" w:rsidRDefault="006537EA">
      <w:pPr>
        <w:pStyle w:val="normal0"/>
      </w:pPr>
      <w:r>
        <w:t>Juraj Melichár (Ekofórum)</w:t>
      </w:r>
    </w:p>
    <w:p w:rsidR="006537EA" w:rsidRDefault="006537EA">
      <w:pPr>
        <w:pStyle w:val="normal0"/>
      </w:pPr>
      <w:r>
        <w:t>Lucia Szabová (Klimatická koalícia)</w:t>
      </w:r>
    </w:p>
    <w:p w:rsidR="006537EA" w:rsidRDefault="006537EA">
      <w:pPr>
        <w:pStyle w:val="normal0"/>
      </w:pPr>
      <w:r>
        <w:t>Boglárka Kurka Ivanegová (Špirála)</w:t>
      </w:r>
    </w:p>
    <w:p w:rsidR="006537EA" w:rsidRDefault="006537EA">
      <w:pPr>
        <w:pStyle w:val="normal0"/>
      </w:pPr>
      <w:r>
        <w:t>Ľubica Trubíniová (Slovenský ochranársky snem)</w:t>
      </w:r>
    </w:p>
    <w:p w:rsidR="006537EA" w:rsidRDefault="006537EA">
      <w:pPr>
        <w:pStyle w:val="normal0"/>
      </w:pPr>
    </w:p>
    <w:p w:rsidR="006537EA" w:rsidRDefault="006537EA">
      <w:pPr>
        <w:pStyle w:val="normal0"/>
      </w:pPr>
      <w:r>
        <w:t>24. 9. 2024</w:t>
      </w:r>
    </w:p>
    <w:p w:rsidR="006537EA" w:rsidRDefault="006537EA">
      <w:pPr>
        <w:pStyle w:val="normal0"/>
        <w:rPr>
          <w:b/>
          <w:bCs/>
        </w:rPr>
      </w:pPr>
    </w:p>
    <w:p w:rsidR="006537EA" w:rsidRPr="00CC46BD" w:rsidRDefault="006537EA">
      <w:pPr>
        <w:pStyle w:val="normal0"/>
        <w:rPr>
          <w:b/>
          <w:bCs/>
        </w:rPr>
      </w:pPr>
    </w:p>
    <w:sectPr w:rsidR="006537EA" w:rsidRPr="00CC46BD" w:rsidSect="000C0E21">
      <w:pgSz w:w="11906" w:h="16838"/>
      <w:pgMar w:top="899" w:right="926" w:bottom="899" w:left="108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B65"/>
    <w:multiLevelType w:val="multilevel"/>
    <w:tmpl w:val="FFFFFFFF"/>
    <w:lvl w:ilvl="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2A9434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E21"/>
    <w:rsid w:val="000C0E21"/>
    <w:rsid w:val="006537EA"/>
    <w:rsid w:val="008C0AAE"/>
    <w:rsid w:val="00A67550"/>
    <w:rsid w:val="00CC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C0E2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C0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C0E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C0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C0E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C0E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5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5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5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5F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5FB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0C0E21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0C0E21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05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C0E21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BC05FB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0C0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0E2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C0E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C4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F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legislativne-procesy/SK/LP/2024/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862</Words>
  <Characters>4917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2</cp:revision>
  <dcterms:created xsi:type="dcterms:W3CDTF">2024-09-26T11:12:00Z</dcterms:created>
  <dcterms:modified xsi:type="dcterms:W3CDTF">2024-09-26T11:13:00Z</dcterms:modified>
</cp:coreProperties>
</file>